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3D" w:rsidRPr="0075173D" w:rsidRDefault="0075173D" w:rsidP="0075173D">
      <w:pPr>
        <w:pStyle w:val="NoSpacing"/>
        <w:rPr>
          <w:b/>
          <w:sz w:val="32"/>
          <w:szCs w:val="32"/>
        </w:rPr>
      </w:pPr>
      <w:r w:rsidRPr="0075173D">
        <w:rPr>
          <w:b/>
          <w:sz w:val="32"/>
          <w:szCs w:val="32"/>
        </w:rPr>
        <w:t>Highlights of Medicare Access and CHIP Reauthorization Act of 2015</w:t>
      </w:r>
    </w:p>
    <w:p w:rsidR="0075173D" w:rsidRDefault="0075173D" w:rsidP="0075173D">
      <w:pPr>
        <w:pStyle w:val="NoSpacing"/>
        <w:rPr>
          <w:rFonts w:ascii="Segoe UI Symbol" w:hAnsi="Segoe UI Symbol" w:cs="Segoe UI Symbol"/>
        </w:rPr>
      </w:pPr>
    </w:p>
    <w:p w:rsidR="0075173D" w:rsidRPr="006A7FBE" w:rsidRDefault="0075173D" w:rsidP="0075173D">
      <w:pPr>
        <w:pStyle w:val="NoSpacing"/>
        <w:rPr>
          <w:b/>
          <w:sz w:val="28"/>
          <w:szCs w:val="28"/>
          <w:u w:val="single"/>
        </w:rPr>
      </w:pPr>
      <w:r w:rsidRPr="006A7FBE">
        <w:rPr>
          <w:rFonts w:ascii="Segoe UI Symbol" w:hAnsi="Segoe UI Symbol" w:cs="Segoe UI Symbol"/>
          <w:sz w:val="28"/>
          <w:szCs w:val="28"/>
        </w:rPr>
        <w:t>❖</w:t>
      </w:r>
      <w:r w:rsidRPr="006A7FBE">
        <w:rPr>
          <w:sz w:val="28"/>
          <w:szCs w:val="28"/>
        </w:rPr>
        <w:t xml:space="preserve"> </w:t>
      </w:r>
      <w:r w:rsidRPr="006A7FBE">
        <w:rPr>
          <w:b/>
          <w:sz w:val="28"/>
          <w:szCs w:val="28"/>
          <w:u w:val="single"/>
        </w:rPr>
        <w:t>Consolidates Medicare Quality Programs</w:t>
      </w:r>
    </w:p>
    <w:p w:rsidR="00EC59A0" w:rsidRPr="0075173D" w:rsidRDefault="00EC59A0" w:rsidP="0075173D">
      <w:pPr>
        <w:pStyle w:val="NoSpacing"/>
      </w:pPr>
    </w:p>
    <w:p w:rsidR="0075173D" w:rsidRDefault="0075173D" w:rsidP="0075173D">
      <w:pPr>
        <w:pStyle w:val="NoSpacing"/>
        <w:ind w:left="720"/>
        <w:rPr>
          <w:b/>
        </w:rPr>
      </w:pPr>
      <w:r w:rsidRPr="0075173D">
        <w:rPr>
          <w:rFonts w:ascii="Segoe UI Symbol" w:hAnsi="Segoe UI Symbol" w:cs="Segoe UI Symbol"/>
        </w:rPr>
        <w:t>➢</w:t>
      </w:r>
      <w:r w:rsidRPr="0075173D">
        <w:t xml:space="preserve"> </w:t>
      </w:r>
      <w:r w:rsidRPr="006A7FBE">
        <w:rPr>
          <w:b/>
          <w:sz w:val="24"/>
          <w:szCs w:val="24"/>
        </w:rPr>
        <w:t>Beginning in 2019, the new Merit-Based Incentive Payment System (MIPS) will become the only Medicare quality reporting program</w:t>
      </w:r>
    </w:p>
    <w:p w:rsidR="00EC59A0" w:rsidRPr="0075173D" w:rsidRDefault="00EC59A0" w:rsidP="0075173D">
      <w:pPr>
        <w:pStyle w:val="NoSpacing"/>
        <w:ind w:left="720"/>
      </w:pPr>
    </w:p>
    <w:p w:rsidR="0075173D" w:rsidRDefault="0075173D" w:rsidP="0075173D">
      <w:pPr>
        <w:pStyle w:val="NoSpacing"/>
        <w:numPr>
          <w:ilvl w:val="0"/>
          <w:numId w:val="2"/>
        </w:numPr>
      </w:pPr>
      <w:r w:rsidRPr="0075173D">
        <w:t>Current penalties under the Physician Quality Reporting System, Electronic Health Records/Meaningful Use,</w:t>
      </w:r>
      <w:r>
        <w:t xml:space="preserve"> </w:t>
      </w:r>
      <w:r w:rsidRPr="0075173D">
        <w:t>and the Value-Based Payment Modifier will end at the close of 2018</w:t>
      </w:r>
    </w:p>
    <w:p w:rsidR="00EC59A0" w:rsidRPr="006A7FBE" w:rsidRDefault="00EC59A0" w:rsidP="00EC59A0">
      <w:pPr>
        <w:pStyle w:val="NoSpacing"/>
        <w:ind w:left="720"/>
        <w:rPr>
          <w:sz w:val="16"/>
          <w:szCs w:val="16"/>
        </w:rPr>
      </w:pPr>
    </w:p>
    <w:p w:rsidR="0075173D" w:rsidRDefault="0075173D" w:rsidP="0075173D">
      <w:pPr>
        <w:pStyle w:val="NoSpacing"/>
        <w:numPr>
          <w:ilvl w:val="0"/>
          <w:numId w:val="2"/>
        </w:numPr>
      </w:pPr>
      <w:r w:rsidRPr="0075173D">
        <w:t>New Composite Score (0-100) will be based on 4 categories</w:t>
      </w:r>
      <w:r w:rsidR="00A136C0">
        <w:t xml:space="preserve"> - </w:t>
      </w:r>
      <w:r w:rsidRPr="0075173D">
        <w:t>Quality (30%), Resource Use (30%), Meaningful</w:t>
      </w:r>
      <w:r>
        <w:t xml:space="preserve"> </w:t>
      </w:r>
      <w:r w:rsidRPr="0075173D">
        <w:t>Use (25%), Clinical Practice Improvement Activities (15%)</w:t>
      </w:r>
    </w:p>
    <w:p w:rsidR="00EC59A0" w:rsidRPr="006A7FBE" w:rsidRDefault="00EC59A0" w:rsidP="00EC59A0">
      <w:pPr>
        <w:pStyle w:val="NoSpacing"/>
        <w:ind w:left="720"/>
        <w:rPr>
          <w:sz w:val="16"/>
          <w:szCs w:val="16"/>
        </w:rPr>
      </w:pPr>
    </w:p>
    <w:p w:rsidR="0075173D" w:rsidRDefault="0075173D" w:rsidP="0075173D">
      <w:pPr>
        <w:pStyle w:val="NoSpacing"/>
        <w:numPr>
          <w:ilvl w:val="0"/>
          <w:numId w:val="2"/>
        </w:numPr>
      </w:pPr>
      <w:r w:rsidRPr="0075173D">
        <w:t>Establishes maximum bonuses and penalties</w:t>
      </w:r>
      <w:r w:rsidR="00A136C0">
        <w:t xml:space="preserve"> - </w:t>
      </w:r>
      <w:r w:rsidRPr="0075173D">
        <w:t>additional bonus pool of funds for top performers</w:t>
      </w:r>
    </w:p>
    <w:p w:rsidR="00EC59A0" w:rsidRPr="006A7FBE" w:rsidRDefault="00EC59A0" w:rsidP="00EC59A0">
      <w:pPr>
        <w:pStyle w:val="NoSpacing"/>
        <w:rPr>
          <w:sz w:val="16"/>
          <w:szCs w:val="16"/>
        </w:rPr>
      </w:pPr>
    </w:p>
    <w:p w:rsidR="0075173D" w:rsidRDefault="0075173D" w:rsidP="0075173D">
      <w:pPr>
        <w:pStyle w:val="NoSpacing"/>
        <w:numPr>
          <w:ilvl w:val="0"/>
          <w:numId w:val="2"/>
        </w:numPr>
      </w:pPr>
      <w:r w:rsidRPr="0075173D">
        <w:t>Exemptions for alternative payment model participation and few Medicare patients</w:t>
      </w:r>
    </w:p>
    <w:p w:rsidR="006A7FBE" w:rsidRPr="006A7FBE" w:rsidRDefault="006A7FBE" w:rsidP="006A7FBE">
      <w:pPr>
        <w:pStyle w:val="NoSpacing"/>
        <w:rPr>
          <w:sz w:val="16"/>
          <w:szCs w:val="16"/>
        </w:rPr>
      </w:pPr>
    </w:p>
    <w:p w:rsidR="0075173D" w:rsidRDefault="0075173D" w:rsidP="0075173D">
      <w:pPr>
        <w:pStyle w:val="NoSpacing"/>
        <w:numPr>
          <w:ilvl w:val="0"/>
          <w:numId w:val="2"/>
        </w:numPr>
      </w:pPr>
      <w:r w:rsidRPr="0075173D">
        <w:t>Group practices can report via Qualified Clinical Data Registries (QCDRs); beginning in 2016, the Medicare</w:t>
      </w:r>
      <w:r>
        <w:t xml:space="preserve"> </w:t>
      </w:r>
      <w:r w:rsidRPr="0075173D">
        <w:t>Access and CHIP Reauthorization Act of 2015 allows group practices to report via QCDR and encourages eligible</w:t>
      </w:r>
      <w:r>
        <w:t xml:space="preserve"> </w:t>
      </w:r>
      <w:r w:rsidRPr="0075173D">
        <w:t>professionals to use these registries for MIPS reporting; QCDRs will also have access to Medicare claims data to</w:t>
      </w:r>
      <w:r>
        <w:t xml:space="preserve"> </w:t>
      </w:r>
      <w:r w:rsidRPr="0075173D">
        <w:t>inform and assist their activities</w:t>
      </w:r>
    </w:p>
    <w:p w:rsidR="006A7FBE" w:rsidRPr="006A7FBE" w:rsidRDefault="006A7FBE" w:rsidP="006A7FBE">
      <w:pPr>
        <w:pStyle w:val="NoSpacing"/>
        <w:rPr>
          <w:sz w:val="16"/>
          <w:szCs w:val="16"/>
        </w:rPr>
      </w:pPr>
    </w:p>
    <w:p w:rsidR="0075173D" w:rsidRPr="0075173D" w:rsidRDefault="0075173D" w:rsidP="0075173D">
      <w:pPr>
        <w:pStyle w:val="NoSpacing"/>
        <w:numPr>
          <w:ilvl w:val="0"/>
          <w:numId w:val="2"/>
        </w:numPr>
      </w:pPr>
      <w:r w:rsidRPr="0075173D">
        <w:t>Participation in clinical data registries, Maintenance of Certification (MOC) programs, and other clinical</w:t>
      </w:r>
      <w:r>
        <w:t xml:space="preserve"> </w:t>
      </w:r>
      <w:r w:rsidRPr="0075173D">
        <w:t>improvement activities are recognized in the new MIPS</w:t>
      </w:r>
    </w:p>
    <w:p w:rsidR="0075173D" w:rsidRDefault="0075173D" w:rsidP="0075173D">
      <w:pPr>
        <w:pStyle w:val="NoSpacing"/>
        <w:rPr>
          <w:rFonts w:ascii="Segoe UI Symbol" w:hAnsi="Segoe UI Symbol" w:cs="Segoe UI Symbol"/>
        </w:rPr>
      </w:pPr>
    </w:p>
    <w:p w:rsidR="0075173D" w:rsidRPr="006A7FBE" w:rsidRDefault="0075173D" w:rsidP="0075173D">
      <w:pPr>
        <w:pStyle w:val="NoSpacing"/>
        <w:ind w:left="720"/>
        <w:rPr>
          <w:b/>
          <w:sz w:val="24"/>
          <w:szCs w:val="24"/>
        </w:rPr>
      </w:pPr>
      <w:r w:rsidRPr="006A7FBE">
        <w:rPr>
          <w:rFonts w:ascii="Segoe UI Symbol" w:hAnsi="Segoe UI Symbol" w:cs="Segoe UI Symbol"/>
          <w:sz w:val="24"/>
          <w:szCs w:val="24"/>
        </w:rPr>
        <w:t>➢</w:t>
      </w:r>
      <w:r w:rsidRPr="006A7FBE">
        <w:rPr>
          <w:sz w:val="24"/>
          <w:szCs w:val="24"/>
        </w:rPr>
        <w:t xml:space="preserve"> </w:t>
      </w:r>
      <w:r w:rsidRPr="006A7FBE">
        <w:rPr>
          <w:b/>
          <w:sz w:val="24"/>
          <w:szCs w:val="24"/>
        </w:rPr>
        <w:t>Sets Priorities and Funding for Measure Development</w:t>
      </w:r>
    </w:p>
    <w:p w:rsidR="006A7FBE" w:rsidRPr="0075173D" w:rsidRDefault="006A7FBE" w:rsidP="0075173D">
      <w:pPr>
        <w:pStyle w:val="NoSpacing"/>
        <w:ind w:left="720"/>
      </w:pPr>
    </w:p>
    <w:p w:rsidR="0075173D" w:rsidRDefault="0075173D" w:rsidP="0075173D">
      <w:pPr>
        <w:pStyle w:val="NoSpacing"/>
        <w:numPr>
          <w:ilvl w:val="0"/>
          <w:numId w:val="3"/>
        </w:numPr>
      </w:pPr>
      <w:r w:rsidRPr="0075173D">
        <w:t>From 2015 to 2019 a total of $75 million could go to physicians, physician groups, and the Physician Consortium</w:t>
      </w:r>
      <w:r>
        <w:t xml:space="preserve"> </w:t>
      </w:r>
      <w:r w:rsidRPr="0075173D">
        <w:t>for Performance Improvement; new evidence-based measures can be adopted without endorsement from</w:t>
      </w:r>
      <w:r>
        <w:t xml:space="preserve"> </w:t>
      </w:r>
      <w:r w:rsidRPr="0075173D">
        <w:t>National Quality Forum, and measures must be developed in close collaboration with physicians and other</w:t>
      </w:r>
      <w:r w:rsidR="00A136C0">
        <w:t xml:space="preserve"> </w:t>
      </w:r>
      <w:r w:rsidRPr="0075173D">
        <w:t>stakeholders (specialty societies develop quality measures)</w:t>
      </w:r>
    </w:p>
    <w:p w:rsidR="00EC59A0" w:rsidRPr="0075173D" w:rsidRDefault="00EC59A0" w:rsidP="00EC59A0">
      <w:pPr>
        <w:pStyle w:val="NoSpacing"/>
        <w:ind w:left="720"/>
      </w:pPr>
    </w:p>
    <w:p w:rsidR="0075173D" w:rsidRPr="006A7FBE" w:rsidRDefault="0075173D" w:rsidP="0075173D">
      <w:pPr>
        <w:pStyle w:val="NoSpacing"/>
        <w:ind w:left="720"/>
        <w:rPr>
          <w:b/>
          <w:sz w:val="24"/>
          <w:szCs w:val="24"/>
        </w:rPr>
      </w:pPr>
      <w:r w:rsidRPr="006A7FBE">
        <w:rPr>
          <w:rFonts w:ascii="Segoe UI Symbol" w:hAnsi="Segoe UI Symbol" w:cs="Segoe UI Symbol"/>
          <w:sz w:val="24"/>
          <w:szCs w:val="24"/>
        </w:rPr>
        <w:t>➢</w:t>
      </w:r>
      <w:r w:rsidRPr="006A7FBE">
        <w:rPr>
          <w:sz w:val="24"/>
          <w:szCs w:val="24"/>
        </w:rPr>
        <w:t xml:space="preserve"> </w:t>
      </w:r>
      <w:r w:rsidRPr="006A7FBE">
        <w:rPr>
          <w:b/>
          <w:sz w:val="24"/>
          <w:szCs w:val="24"/>
        </w:rPr>
        <w:t xml:space="preserve">Encourages Care Management for Individuals </w:t>
      </w:r>
      <w:r w:rsidR="00A136C0" w:rsidRPr="006A7FBE">
        <w:rPr>
          <w:b/>
          <w:sz w:val="24"/>
          <w:szCs w:val="24"/>
        </w:rPr>
        <w:t>with</w:t>
      </w:r>
      <w:r w:rsidRPr="006A7FBE">
        <w:rPr>
          <w:b/>
          <w:sz w:val="24"/>
          <w:szCs w:val="24"/>
        </w:rPr>
        <w:t xml:space="preserve"> Chronic Care Needs</w:t>
      </w:r>
    </w:p>
    <w:p w:rsidR="00EC59A0" w:rsidRPr="0075173D" w:rsidRDefault="00EC59A0" w:rsidP="0075173D">
      <w:pPr>
        <w:pStyle w:val="NoSpacing"/>
        <w:ind w:left="720"/>
      </w:pPr>
    </w:p>
    <w:p w:rsidR="0075173D" w:rsidRPr="006A7FBE" w:rsidRDefault="0075173D" w:rsidP="0075173D">
      <w:pPr>
        <w:pStyle w:val="NoSpacing"/>
        <w:ind w:left="720"/>
        <w:rPr>
          <w:b/>
          <w:sz w:val="24"/>
          <w:szCs w:val="24"/>
        </w:rPr>
      </w:pPr>
      <w:r w:rsidRPr="006A7FBE">
        <w:rPr>
          <w:rFonts w:ascii="Segoe UI Symbol" w:hAnsi="Segoe UI Symbol" w:cs="Segoe UI Symbol"/>
          <w:sz w:val="24"/>
          <w:szCs w:val="24"/>
        </w:rPr>
        <w:t>➢</w:t>
      </w:r>
      <w:r w:rsidRPr="006A7FBE">
        <w:rPr>
          <w:sz w:val="24"/>
          <w:szCs w:val="24"/>
        </w:rPr>
        <w:t xml:space="preserve"> </w:t>
      </w:r>
      <w:r w:rsidRPr="006A7FBE">
        <w:rPr>
          <w:b/>
          <w:sz w:val="24"/>
          <w:szCs w:val="24"/>
        </w:rPr>
        <w:t>Access to Information on Physicians and Expanded Data Availability</w:t>
      </w:r>
    </w:p>
    <w:p w:rsidR="006A7FBE" w:rsidRPr="0075173D" w:rsidRDefault="006A7FBE" w:rsidP="0075173D">
      <w:pPr>
        <w:pStyle w:val="NoSpacing"/>
        <w:ind w:left="720"/>
      </w:pPr>
    </w:p>
    <w:p w:rsidR="0075173D" w:rsidRDefault="0075173D" w:rsidP="0075173D">
      <w:pPr>
        <w:pStyle w:val="NoSpacing"/>
        <w:numPr>
          <w:ilvl w:val="0"/>
          <w:numId w:val="3"/>
        </w:numPr>
      </w:pPr>
      <w:r w:rsidRPr="0075173D">
        <w:t>The Centers for Medicare and Medicaid Services (CMS) will publish quality, utilization, resource use and payment</w:t>
      </w:r>
      <w:r>
        <w:t xml:space="preserve"> </w:t>
      </w:r>
      <w:r w:rsidRPr="0075173D">
        <w:t>data on Physician Compare</w:t>
      </w:r>
    </w:p>
    <w:p w:rsidR="00EC59A0" w:rsidRPr="0075173D" w:rsidRDefault="00EC59A0" w:rsidP="00EC59A0">
      <w:pPr>
        <w:pStyle w:val="NoSpacing"/>
        <w:ind w:left="720"/>
      </w:pPr>
    </w:p>
    <w:p w:rsidR="0075173D" w:rsidRPr="006A7FBE" w:rsidRDefault="0075173D" w:rsidP="0075173D">
      <w:pPr>
        <w:pStyle w:val="NoSpacing"/>
        <w:ind w:left="720"/>
        <w:rPr>
          <w:sz w:val="24"/>
          <w:szCs w:val="24"/>
        </w:rPr>
      </w:pPr>
      <w:r w:rsidRPr="006A7FBE">
        <w:rPr>
          <w:rFonts w:ascii="Segoe UI Symbol" w:hAnsi="Segoe UI Symbol" w:cs="Segoe UI Symbol"/>
          <w:sz w:val="24"/>
          <w:szCs w:val="24"/>
        </w:rPr>
        <w:t>➢</w:t>
      </w:r>
      <w:r w:rsidRPr="006A7FBE">
        <w:rPr>
          <w:sz w:val="24"/>
          <w:szCs w:val="24"/>
        </w:rPr>
        <w:t xml:space="preserve"> </w:t>
      </w:r>
      <w:r w:rsidRPr="006A7FBE">
        <w:rPr>
          <w:b/>
          <w:sz w:val="24"/>
          <w:szCs w:val="24"/>
        </w:rPr>
        <w:t>Other Provisions</w:t>
      </w:r>
    </w:p>
    <w:p w:rsidR="0075173D" w:rsidRDefault="0075173D" w:rsidP="0075173D">
      <w:pPr>
        <w:pStyle w:val="NoSpacing"/>
        <w:numPr>
          <w:ilvl w:val="0"/>
          <w:numId w:val="3"/>
        </w:numPr>
      </w:pPr>
      <w:r w:rsidRPr="0075173D">
        <w:t>Requires electronic health record interoperability by 2018</w:t>
      </w:r>
    </w:p>
    <w:p w:rsidR="006A7FBE" w:rsidRPr="006A7FBE" w:rsidRDefault="006A7FBE" w:rsidP="006A7FBE">
      <w:pPr>
        <w:pStyle w:val="NoSpacing"/>
        <w:ind w:left="720"/>
        <w:rPr>
          <w:sz w:val="16"/>
          <w:szCs w:val="16"/>
        </w:rPr>
      </w:pPr>
    </w:p>
    <w:p w:rsidR="0075173D" w:rsidRDefault="0075173D" w:rsidP="0075173D">
      <w:pPr>
        <w:pStyle w:val="NoSpacing"/>
        <w:numPr>
          <w:ilvl w:val="0"/>
          <w:numId w:val="3"/>
        </w:numPr>
      </w:pPr>
      <w:r w:rsidRPr="0075173D">
        <w:t>Systems and devices can exchange data, interpret that shared data, and be understood by the user</w:t>
      </w:r>
    </w:p>
    <w:p w:rsidR="006A7FBE" w:rsidRPr="006A7FBE" w:rsidRDefault="006A7FBE" w:rsidP="006A7FBE">
      <w:pPr>
        <w:pStyle w:val="NoSpacing"/>
        <w:rPr>
          <w:sz w:val="16"/>
          <w:szCs w:val="16"/>
        </w:rPr>
      </w:pPr>
    </w:p>
    <w:p w:rsidR="0075173D" w:rsidRDefault="0075173D" w:rsidP="0075173D">
      <w:pPr>
        <w:pStyle w:val="NoSpacing"/>
        <w:numPr>
          <w:ilvl w:val="0"/>
          <w:numId w:val="3"/>
        </w:numPr>
      </w:pPr>
      <w:r w:rsidRPr="0075173D">
        <w:t>Boosts physician fees in rural areas of the country through 2017</w:t>
      </w:r>
    </w:p>
    <w:p w:rsidR="006A7FBE" w:rsidRPr="006A7FBE" w:rsidRDefault="006A7FBE" w:rsidP="006A7FBE">
      <w:pPr>
        <w:pStyle w:val="NoSpacing"/>
        <w:rPr>
          <w:sz w:val="16"/>
          <w:szCs w:val="16"/>
        </w:rPr>
      </w:pPr>
    </w:p>
    <w:p w:rsidR="0075173D" w:rsidRDefault="0075173D" w:rsidP="0075173D">
      <w:pPr>
        <w:pStyle w:val="NoSpacing"/>
        <w:numPr>
          <w:ilvl w:val="0"/>
          <w:numId w:val="3"/>
        </w:numPr>
      </w:pPr>
      <w:r w:rsidRPr="0075173D">
        <w:t>Preserves the current 10-day and 90-day global periods for more than 4000 surgical service codes that CMS had</w:t>
      </w:r>
      <w:r>
        <w:t xml:space="preserve"> </w:t>
      </w:r>
      <w:r w:rsidRPr="0075173D">
        <w:t>planned to unbundle</w:t>
      </w:r>
    </w:p>
    <w:p w:rsidR="006A7FBE" w:rsidRPr="006A7FBE" w:rsidRDefault="006A7FBE" w:rsidP="006A7FBE">
      <w:pPr>
        <w:pStyle w:val="NoSpacing"/>
        <w:rPr>
          <w:sz w:val="16"/>
          <w:szCs w:val="16"/>
        </w:rPr>
      </w:pPr>
    </w:p>
    <w:p w:rsidR="0075173D" w:rsidRDefault="0075173D" w:rsidP="0075173D">
      <w:pPr>
        <w:pStyle w:val="NoSpacing"/>
        <w:numPr>
          <w:ilvl w:val="0"/>
          <w:numId w:val="3"/>
        </w:numPr>
      </w:pPr>
      <w:r w:rsidRPr="0075173D">
        <w:t>Allows CMS to use the “probe and educa</w:t>
      </w:r>
      <w:r w:rsidR="006A7FBE">
        <w:t>te” program to access compliance</w:t>
      </w:r>
    </w:p>
    <w:p w:rsidR="006A7FBE" w:rsidRPr="006A7FBE" w:rsidRDefault="006A7FBE" w:rsidP="006A7FBE">
      <w:pPr>
        <w:pStyle w:val="NoSpacing"/>
        <w:ind w:left="720"/>
        <w:rPr>
          <w:sz w:val="16"/>
          <w:szCs w:val="16"/>
        </w:rPr>
      </w:pPr>
    </w:p>
    <w:p w:rsidR="0075173D" w:rsidRDefault="0075173D" w:rsidP="0075173D">
      <w:pPr>
        <w:pStyle w:val="NoSpacing"/>
        <w:numPr>
          <w:ilvl w:val="0"/>
          <w:numId w:val="3"/>
        </w:numPr>
      </w:pPr>
      <w:r w:rsidRPr="0075173D">
        <w:t>Physicians who opt out of Medicare to privately contract no longer need to renew their opt-out status every 2 years</w:t>
      </w:r>
    </w:p>
    <w:p w:rsidR="006A7FBE" w:rsidRPr="0075173D" w:rsidRDefault="006A7FBE" w:rsidP="006A7FBE">
      <w:pPr>
        <w:pStyle w:val="NoSpacing"/>
        <w:ind w:left="720"/>
        <w:jc w:val="right"/>
      </w:pPr>
      <w:r>
        <w:t>Cont’d</w:t>
      </w:r>
      <w:bookmarkStart w:id="0" w:name="_GoBack"/>
      <w:bookmarkEnd w:id="0"/>
    </w:p>
    <w:p w:rsidR="0075173D" w:rsidRPr="006A7FBE" w:rsidRDefault="0075173D" w:rsidP="0075173D">
      <w:pPr>
        <w:pStyle w:val="NoSpacing"/>
        <w:rPr>
          <w:sz w:val="28"/>
          <w:szCs w:val="28"/>
          <w:u w:val="single"/>
        </w:rPr>
      </w:pPr>
      <w:r w:rsidRPr="006A7FBE">
        <w:rPr>
          <w:rFonts w:ascii="Segoe UI Symbol" w:hAnsi="Segoe UI Symbol" w:cs="Segoe UI Symbol"/>
          <w:sz w:val="28"/>
          <w:szCs w:val="28"/>
          <w:u w:val="single"/>
        </w:rPr>
        <w:lastRenderedPageBreak/>
        <w:t>❖</w:t>
      </w:r>
      <w:r w:rsidRPr="006A7FBE">
        <w:rPr>
          <w:sz w:val="28"/>
          <w:szCs w:val="28"/>
          <w:u w:val="single"/>
        </w:rPr>
        <w:t xml:space="preserve"> </w:t>
      </w:r>
      <w:r w:rsidRPr="006A7FBE">
        <w:rPr>
          <w:b/>
          <w:sz w:val="28"/>
          <w:szCs w:val="28"/>
          <w:u w:val="single"/>
        </w:rPr>
        <w:t>Medicare Access and CHIP Reauthorization Act of 2015 Implementation Milestones</w:t>
      </w:r>
    </w:p>
    <w:p w:rsidR="0075173D" w:rsidRPr="0075173D" w:rsidRDefault="0075173D" w:rsidP="0075173D">
      <w:pPr>
        <w:pStyle w:val="NoSpacing"/>
        <w:ind w:left="720"/>
      </w:pPr>
      <w:r w:rsidRPr="0075173D">
        <w:rPr>
          <w:rFonts w:ascii="Segoe UI Symbol" w:hAnsi="Segoe UI Symbol" w:cs="Segoe UI Symbol"/>
        </w:rPr>
        <w:t>➢</w:t>
      </w:r>
      <w:r w:rsidRPr="0075173D">
        <w:t xml:space="preserve"> </w:t>
      </w:r>
      <w:r w:rsidRPr="00EC59A0">
        <w:rPr>
          <w:b/>
        </w:rPr>
        <w:t>2016</w:t>
      </w:r>
    </w:p>
    <w:p w:rsidR="0075173D" w:rsidRPr="0075173D" w:rsidRDefault="0075173D" w:rsidP="0075173D">
      <w:pPr>
        <w:pStyle w:val="NoSpacing"/>
        <w:numPr>
          <w:ilvl w:val="0"/>
          <w:numId w:val="4"/>
        </w:numPr>
      </w:pPr>
      <w:r w:rsidRPr="0075173D">
        <w:t>Issue proposed and final regulations for alternative payment model and MIPS</w:t>
      </w:r>
    </w:p>
    <w:p w:rsidR="0075173D" w:rsidRPr="0075173D" w:rsidRDefault="0075173D" w:rsidP="0075173D">
      <w:pPr>
        <w:pStyle w:val="NoSpacing"/>
        <w:numPr>
          <w:ilvl w:val="0"/>
          <w:numId w:val="4"/>
        </w:numPr>
      </w:pPr>
      <w:r w:rsidRPr="0075173D">
        <w:t>Availability of technical assistant funds for practices</w:t>
      </w:r>
    </w:p>
    <w:p w:rsidR="0075173D" w:rsidRPr="0075173D" w:rsidRDefault="0075173D" w:rsidP="0075173D">
      <w:pPr>
        <w:pStyle w:val="NoSpacing"/>
        <w:ind w:left="720"/>
      </w:pPr>
      <w:r w:rsidRPr="0075173D">
        <w:rPr>
          <w:rFonts w:ascii="Segoe UI Symbol" w:hAnsi="Segoe UI Symbol" w:cs="Segoe UI Symbol"/>
        </w:rPr>
        <w:t>➢</w:t>
      </w:r>
      <w:r w:rsidRPr="0075173D">
        <w:t xml:space="preserve"> </w:t>
      </w:r>
      <w:r w:rsidRPr="00EC59A0">
        <w:rPr>
          <w:b/>
        </w:rPr>
        <w:t>2017</w:t>
      </w:r>
    </w:p>
    <w:p w:rsidR="0075173D" w:rsidRPr="0075173D" w:rsidRDefault="0075173D" w:rsidP="0075173D">
      <w:pPr>
        <w:pStyle w:val="NoSpacing"/>
        <w:numPr>
          <w:ilvl w:val="0"/>
          <w:numId w:val="5"/>
        </w:numPr>
      </w:pPr>
      <w:r w:rsidRPr="0075173D">
        <w:t>Collection of global surgery code data</w:t>
      </w:r>
    </w:p>
    <w:p w:rsidR="0075173D" w:rsidRPr="0075173D" w:rsidRDefault="0075173D" w:rsidP="00A136C0">
      <w:pPr>
        <w:pStyle w:val="NoSpacing"/>
        <w:ind w:left="720"/>
      </w:pPr>
      <w:r w:rsidRPr="0075173D">
        <w:rPr>
          <w:rFonts w:ascii="Segoe UI Symbol" w:hAnsi="Segoe UI Symbol" w:cs="Segoe UI Symbol"/>
        </w:rPr>
        <w:t>➢</w:t>
      </w:r>
      <w:r w:rsidRPr="0075173D">
        <w:t xml:space="preserve"> </w:t>
      </w:r>
      <w:r w:rsidRPr="00EC59A0">
        <w:rPr>
          <w:b/>
        </w:rPr>
        <w:t>2018</w:t>
      </w:r>
    </w:p>
    <w:p w:rsidR="0075173D" w:rsidRPr="0075173D" w:rsidRDefault="0075173D" w:rsidP="00A136C0">
      <w:pPr>
        <w:pStyle w:val="NoSpacing"/>
        <w:numPr>
          <w:ilvl w:val="0"/>
          <w:numId w:val="5"/>
        </w:numPr>
      </w:pPr>
      <w:r w:rsidRPr="0075173D">
        <w:t>Electronic health record interoperability</w:t>
      </w:r>
    </w:p>
    <w:p w:rsidR="0075173D" w:rsidRPr="0075173D" w:rsidRDefault="0075173D" w:rsidP="00A136C0">
      <w:pPr>
        <w:pStyle w:val="NoSpacing"/>
        <w:ind w:left="720"/>
      </w:pPr>
      <w:r w:rsidRPr="0075173D">
        <w:rPr>
          <w:rFonts w:ascii="Segoe UI Symbol" w:hAnsi="Segoe UI Symbol" w:cs="Segoe UI Symbol"/>
        </w:rPr>
        <w:t>➢</w:t>
      </w:r>
      <w:r w:rsidRPr="0075173D">
        <w:t xml:space="preserve"> </w:t>
      </w:r>
      <w:r w:rsidRPr="00EC59A0">
        <w:rPr>
          <w:b/>
        </w:rPr>
        <w:t>2019</w:t>
      </w:r>
    </w:p>
    <w:p w:rsidR="0075173D" w:rsidRPr="0075173D" w:rsidRDefault="0075173D" w:rsidP="00A136C0">
      <w:pPr>
        <w:pStyle w:val="NoSpacing"/>
        <w:numPr>
          <w:ilvl w:val="0"/>
          <w:numId w:val="5"/>
        </w:numPr>
      </w:pPr>
      <w:r w:rsidRPr="0075173D">
        <w:t>MIPS and alternative payment model bonuses and penalties imposed</w:t>
      </w:r>
    </w:p>
    <w:p w:rsidR="00A136C0" w:rsidRDefault="00A136C0" w:rsidP="0075173D">
      <w:pPr>
        <w:pStyle w:val="NoSpacing"/>
        <w:rPr>
          <w:rFonts w:ascii="Segoe UI Symbol" w:hAnsi="Segoe UI Symbol" w:cs="Segoe UI Symbol"/>
        </w:rPr>
      </w:pPr>
    </w:p>
    <w:p w:rsidR="0075173D" w:rsidRPr="006A7FBE" w:rsidRDefault="0075173D" w:rsidP="0075173D">
      <w:pPr>
        <w:pStyle w:val="NoSpacing"/>
        <w:rPr>
          <w:b/>
          <w:sz w:val="28"/>
          <w:szCs w:val="28"/>
          <w:u w:val="single"/>
        </w:rPr>
      </w:pPr>
      <w:r w:rsidRPr="006A7FBE">
        <w:rPr>
          <w:rFonts w:ascii="Segoe UI Symbol" w:hAnsi="Segoe UI Symbol" w:cs="Segoe UI Symbol"/>
          <w:b/>
          <w:sz w:val="28"/>
          <w:szCs w:val="28"/>
          <w:u w:val="single"/>
        </w:rPr>
        <w:t>❖</w:t>
      </w:r>
      <w:r w:rsidRPr="006A7FBE">
        <w:rPr>
          <w:b/>
          <w:sz w:val="28"/>
          <w:szCs w:val="28"/>
          <w:u w:val="single"/>
        </w:rPr>
        <w:t xml:space="preserve"> Total Costs</w:t>
      </w:r>
    </w:p>
    <w:p w:rsidR="0075173D" w:rsidRPr="006A7FBE" w:rsidRDefault="0075173D" w:rsidP="00EC59A0">
      <w:pPr>
        <w:pStyle w:val="NoSpacing"/>
        <w:ind w:left="720"/>
        <w:rPr>
          <w:b/>
          <w:sz w:val="24"/>
          <w:szCs w:val="24"/>
        </w:rPr>
      </w:pPr>
      <w:r w:rsidRPr="006A7FBE">
        <w:rPr>
          <w:rFonts w:ascii="Segoe UI Symbol" w:hAnsi="Segoe UI Symbol" w:cs="Segoe UI Symbol"/>
          <w:b/>
          <w:sz w:val="24"/>
          <w:szCs w:val="24"/>
        </w:rPr>
        <w:t>➢</w:t>
      </w:r>
      <w:r w:rsidRPr="006A7FBE">
        <w:rPr>
          <w:b/>
          <w:sz w:val="24"/>
          <w:szCs w:val="24"/>
        </w:rPr>
        <w:t xml:space="preserve"> $210 billion</w:t>
      </w:r>
    </w:p>
    <w:p w:rsidR="0075173D" w:rsidRPr="0075173D" w:rsidRDefault="0075173D" w:rsidP="00EC59A0">
      <w:pPr>
        <w:pStyle w:val="NoSpacing"/>
        <w:numPr>
          <w:ilvl w:val="0"/>
          <w:numId w:val="5"/>
        </w:numPr>
      </w:pPr>
      <w:r w:rsidRPr="0075173D">
        <w:t>$70 billion offset by a variety of provider cuts and increased beneficiary cost-sharing</w:t>
      </w:r>
    </w:p>
    <w:p w:rsidR="00DB066B" w:rsidRDefault="0075173D" w:rsidP="00EC59A0">
      <w:pPr>
        <w:pStyle w:val="NoSpacing"/>
        <w:numPr>
          <w:ilvl w:val="0"/>
          <w:numId w:val="5"/>
        </w:numPr>
      </w:pPr>
      <w:r w:rsidRPr="0075173D">
        <w:t>$140 billion not offset</w:t>
      </w:r>
    </w:p>
    <w:sectPr w:rsidR="00DB066B" w:rsidSect="00A136C0">
      <w:pgSz w:w="12240" w:h="15840"/>
      <w:pgMar w:top="576" w:right="1152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F641A"/>
    <w:multiLevelType w:val="hybridMultilevel"/>
    <w:tmpl w:val="CF6E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8A7ADD"/>
    <w:multiLevelType w:val="hybridMultilevel"/>
    <w:tmpl w:val="2A36C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33527D"/>
    <w:multiLevelType w:val="hybridMultilevel"/>
    <w:tmpl w:val="32182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592930"/>
    <w:multiLevelType w:val="hybridMultilevel"/>
    <w:tmpl w:val="8BA2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93D5C"/>
    <w:multiLevelType w:val="hybridMultilevel"/>
    <w:tmpl w:val="62525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3D"/>
    <w:rsid w:val="006A7FBE"/>
    <w:rsid w:val="0075173D"/>
    <w:rsid w:val="00A136C0"/>
    <w:rsid w:val="00DB066B"/>
    <w:rsid w:val="00E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E5DC2-B84C-4D99-B7EF-D88B9ED6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7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Smedberg</dc:creator>
  <cp:keywords/>
  <dc:description/>
  <cp:lastModifiedBy>Paul Smedberg</cp:lastModifiedBy>
  <cp:revision>1</cp:revision>
  <dcterms:created xsi:type="dcterms:W3CDTF">2015-10-30T18:59:00Z</dcterms:created>
  <dcterms:modified xsi:type="dcterms:W3CDTF">2015-10-30T19:35:00Z</dcterms:modified>
</cp:coreProperties>
</file>