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D6DDE" w14:textId="4D048B5C" w:rsidR="008F2972" w:rsidRPr="00EB38C3" w:rsidRDefault="00482013" w:rsidP="0030644B">
      <w:pPr>
        <w:pStyle w:val="Default"/>
        <w:rPr>
          <w:rFonts w:asciiTheme="minorHAnsi" w:hAnsiTheme="minorHAnsi" w:cstheme="minorHAnsi"/>
          <w:color w:val="0000FF"/>
        </w:rPr>
      </w:pPr>
      <w:bookmarkStart w:id="0" w:name="_GoBack"/>
      <w:bookmarkEnd w:id="0"/>
      <w:r w:rsidRPr="00EB38C3">
        <w:rPr>
          <w:rFonts w:asciiTheme="minorHAnsi" w:hAnsiTheme="minorHAnsi" w:cstheme="minorHAnsi"/>
        </w:rPr>
        <w:t xml:space="preserve"> </w:t>
      </w:r>
    </w:p>
    <w:p w14:paraId="133D3F30" w14:textId="77777777" w:rsidR="00EB38C3" w:rsidRDefault="00EB38C3" w:rsidP="003E6A17">
      <w:pPr>
        <w:jc w:val="center"/>
        <w:rPr>
          <w:b/>
          <w:sz w:val="24"/>
          <w:szCs w:val="24"/>
        </w:rPr>
      </w:pPr>
    </w:p>
    <w:p w14:paraId="2FADCE0F" w14:textId="77777777" w:rsidR="00EB38C3" w:rsidRDefault="00EB38C3" w:rsidP="003E6A17">
      <w:pPr>
        <w:jc w:val="center"/>
        <w:rPr>
          <w:b/>
          <w:sz w:val="24"/>
          <w:szCs w:val="24"/>
        </w:rPr>
      </w:pPr>
    </w:p>
    <w:p w14:paraId="6259C3B7" w14:textId="4E244EB7" w:rsidR="00126073" w:rsidRPr="00EB38C3" w:rsidRDefault="003E6A17" w:rsidP="003E6A17">
      <w:pPr>
        <w:jc w:val="center"/>
        <w:rPr>
          <w:b/>
          <w:sz w:val="24"/>
          <w:szCs w:val="24"/>
        </w:rPr>
      </w:pPr>
      <w:r w:rsidRPr="00EB38C3">
        <w:rPr>
          <w:b/>
          <w:sz w:val="24"/>
          <w:szCs w:val="24"/>
        </w:rPr>
        <w:t xml:space="preserve">Support </w:t>
      </w:r>
      <w:r w:rsidR="00126073" w:rsidRPr="00EB38C3">
        <w:rPr>
          <w:b/>
          <w:sz w:val="24"/>
          <w:szCs w:val="24"/>
        </w:rPr>
        <w:t>Graduate Medical Education (GME)</w:t>
      </w:r>
    </w:p>
    <w:p w14:paraId="5D47EDDF" w14:textId="77777777" w:rsidR="002C175A" w:rsidRPr="00EB38C3" w:rsidRDefault="00592CA7" w:rsidP="002C175A">
      <w:pPr>
        <w:spacing w:after="0" w:line="240" w:lineRule="auto"/>
        <w:rPr>
          <w:sz w:val="24"/>
          <w:szCs w:val="24"/>
        </w:rPr>
      </w:pPr>
      <w:r w:rsidRPr="00EB38C3">
        <w:rPr>
          <w:sz w:val="24"/>
          <w:szCs w:val="24"/>
        </w:rPr>
        <w:t>Issue:  Medicare Graduate Medical Education (GME) payments are designed</w:t>
      </w:r>
      <w:r w:rsidR="0077223B" w:rsidRPr="00EB38C3">
        <w:rPr>
          <w:sz w:val="24"/>
          <w:szCs w:val="24"/>
        </w:rPr>
        <w:t>,</w:t>
      </w:r>
      <w:r w:rsidRPr="00EB38C3">
        <w:rPr>
          <w:sz w:val="24"/>
          <w:szCs w:val="24"/>
        </w:rPr>
        <w:t xml:space="preserve"> </w:t>
      </w:r>
      <w:r w:rsidR="0077223B" w:rsidRPr="00EB38C3">
        <w:rPr>
          <w:sz w:val="24"/>
          <w:szCs w:val="24"/>
        </w:rPr>
        <w:t xml:space="preserve">primarily, </w:t>
      </w:r>
      <w:r w:rsidRPr="00EB38C3">
        <w:rPr>
          <w:sz w:val="24"/>
          <w:szCs w:val="24"/>
        </w:rPr>
        <w:t xml:space="preserve">to reimburse teaching hospitals for the costs of physician training. Policymakers are considering ways to redesign the </w:t>
      </w:r>
      <w:r w:rsidR="0077223B" w:rsidRPr="00EB38C3">
        <w:rPr>
          <w:sz w:val="24"/>
          <w:szCs w:val="24"/>
        </w:rPr>
        <w:t xml:space="preserve">GME system to change its financing, merge the GME system with the Indirect Medical Education (IME) system, and extend the funding beyond the teaching hospital-based system to community-based settings, all of which would result in a redistribution of residency slots across the country. </w:t>
      </w:r>
    </w:p>
    <w:p w14:paraId="37EEE9D4" w14:textId="77777777" w:rsidR="002C175A" w:rsidRPr="00EB38C3" w:rsidRDefault="002C175A" w:rsidP="002C175A">
      <w:pPr>
        <w:spacing w:after="0" w:line="240" w:lineRule="auto"/>
        <w:rPr>
          <w:sz w:val="24"/>
          <w:szCs w:val="24"/>
        </w:rPr>
      </w:pPr>
    </w:p>
    <w:p w14:paraId="3B6B79C2" w14:textId="2B7D5BE7" w:rsidR="0077223B" w:rsidRPr="00EB38C3" w:rsidRDefault="0077223B" w:rsidP="0077223B">
      <w:pPr>
        <w:rPr>
          <w:sz w:val="24"/>
          <w:szCs w:val="24"/>
        </w:rPr>
      </w:pPr>
      <w:r w:rsidRPr="00EB38C3">
        <w:rPr>
          <w:sz w:val="24"/>
          <w:szCs w:val="24"/>
        </w:rPr>
        <w:t xml:space="preserve">In July 2014, the IOM released their </w:t>
      </w:r>
      <w:hyperlink r:id="rId8" w:history="1">
        <w:r w:rsidRPr="00EB38C3">
          <w:rPr>
            <w:rStyle w:val="Hyperlink"/>
            <w:sz w:val="24"/>
            <w:szCs w:val="24"/>
          </w:rPr>
          <w:t>report</w:t>
        </w:r>
      </w:hyperlink>
      <w:r w:rsidRPr="00EB38C3">
        <w:rPr>
          <w:sz w:val="24"/>
          <w:szCs w:val="24"/>
        </w:rPr>
        <w:t xml:space="preserve"> calling for “broad reform of the [GME] system to achieve a greater alignment of financing with the public’s health care workforce needs.”  The IOM’s five main recommendations are:</w:t>
      </w:r>
    </w:p>
    <w:p w14:paraId="252ADC86" w14:textId="77777777" w:rsidR="0077223B" w:rsidRPr="00EB38C3" w:rsidRDefault="0077223B" w:rsidP="0077223B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Theme="minorHAnsi" w:hAnsiTheme="minorHAnsi" w:cstheme="minorBidi"/>
          <w:sz w:val="24"/>
        </w:rPr>
      </w:pPr>
      <w:r w:rsidRPr="00EB38C3">
        <w:rPr>
          <w:rFonts w:asciiTheme="minorHAnsi" w:hAnsiTheme="minorHAnsi" w:cstheme="minorBidi"/>
          <w:sz w:val="24"/>
        </w:rPr>
        <w:t>To maintain current GME support, adjusted for inflation over time, but to phase out the current Medicare GME payment system.</w:t>
      </w:r>
    </w:p>
    <w:p w14:paraId="785ABA5F" w14:textId="77777777" w:rsidR="0077223B" w:rsidRPr="00EB38C3" w:rsidRDefault="0077223B" w:rsidP="0077223B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Theme="minorHAnsi" w:hAnsiTheme="minorHAnsi" w:cstheme="minorBidi"/>
          <w:sz w:val="24"/>
        </w:rPr>
      </w:pPr>
      <w:r w:rsidRPr="00EB38C3">
        <w:rPr>
          <w:rFonts w:asciiTheme="minorHAnsi" w:hAnsiTheme="minorHAnsi" w:cstheme="minorBidi"/>
          <w:sz w:val="24"/>
        </w:rPr>
        <w:t>To create a GME policy and financing infrastructure, including a GME Policy Council housed in the Office of the Secretary of Health and Human Services (HHS), and a GME Center within the Centers for Medicare &amp; Medicaid Services (CMS).</w:t>
      </w:r>
    </w:p>
    <w:p w14:paraId="4BACC978" w14:textId="77777777" w:rsidR="0077223B" w:rsidRPr="00EB38C3" w:rsidRDefault="0077223B" w:rsidP="0077223B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Theme="minorHAnsi" w:hAnsiTheme="minorHAnsi" w:cstheme="minorBidi"/>
          <w:sz w:val="24"/>
        </w:rPr>
      </w:pPr>
      <w:r w:rsidRPr="00EB38C3">
        <w:rPr>
          <w:rFonts w:asciiTheme="minorHAnsi" w:hAnsiTheme="minorHAnsi" w:cstheme="minorBidi"/>
          <w:sz w:val="24"/>
        </w:rPr>
        <w:t>To divide GME funding into an operational fund, including funding for residency programs, and a transformational fund, including piloting initiatives and funding for GME in medical specialties that are in short supply.</w:t>
      </w:r>
    </w:p>
    <w:p w14:paraId="3EB9DD48" w14:textId="77777777" w:rsidR="0077223B" w:rsidRPr="00EB38C3" w:rsidRDefault="0077223B" w:rsidP="0077223B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Theme="minorHAnsi" w:hAnsiTheme="minorHAnsi" w:cstheme="minorBidi"/>
          <w:sz w:val="24"/>
        </w:rPr>
      </w:pPr>
      <w:r w:rsidRPr="00EB38C3">
        <w:rPr>
          <w:rFonts w:asciiTheme="minorHAnsi" w:hAnsiTheme="minorHAnsi" w:cstheme="minorBidi"/>
          <w:sz w:val="24"/>
        </w:rPr>
        <w:t>To implement a gradual transition from the current payment methodology, divided into direct and indirect GME funding payments, to one with a single payment that over time will become performance based.</w:t>
      </w:r>
    </w:p>
    <w:p w14:paraId="7B6AE114" w14:textId="77777777" w:rsidR="0077223B" w:rsidRPr="00EB38C3" w:rsidRDefault="0077223B" w:rsidP="0077223B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Theme="minorHAnsi" w:hAnsiTheme="minorHAnsi" w:cstheme="minorBidi"/>
          <w:sz w:val="24"/>
        </w:rPr>
      </w:pPr>
      <w:r w:rsidRPr="00EB38C3">
        <w:rPr>
          <w:rFonts w:asciiTheme="minorHAnsi" w:hAnsiTheme="minorHAnsi" w:cstheme="minorBidi"/>
          <w:sz w:val="24"/>
        </w:rPr>
        <w:t>To maintain Medicaid GME funding at the state’s discretion, but with some level of increased transparency and accountability.</w:t>
      </w:r>
    </w:p>
    <w:p w14:paraId="5A92428F" w14:textId="77777777" w:rsidR="0077223B" w:rsidRPr="00EB38C3" w:rsidRDefault="0077223B" w:rsidP="0077223B">
      <w:pPr>
        <w:spacing w:after="0" w:line="240" w:lineRule="auto"/>
        <w:rPr>
          <w:sz w:val="24"/>
          <w:szCs w:val="24"/>
        </w:rPr>
      </w:pPr>
    </w:p>
    <w:p w14:paraId="721627B2" w14:textId="657E2664" w:rsidR="0077223B" w:rsidRPr="00EB38C3" w:rsidRDefault="0077223B" w:rsidP="0077223B">
      <w:pPr>
        <w:rPr>
          <w:sz w:val="24"/>
          <w:szCs w:val="24"/>
        </w:rPr>
      </w:pPr>
      <w:r w:rsidRPr="00EB38C3">
        <w:rPr>
          <w:sz w:val="24"/>
          <w:szCs w:val="24"/>
        </w:rPr>
        <w:t xml:space="preserve">Legislative Status:  After release of the IOM report, the House Ways and Means committee sent an </w:t>
      </w:r>
      <w:hyperlink r:id="rId9" w:history="1">
        <w:r w:rsidRPr="00EB38C3">
          <w:rPr>
            <w:rStyle w:val="Hyperlink"/>
            <w:sz w:val="24"/>
            <w:szCs w:val="24"/>
          </w:rPr>
          <w:t>open letter</w:t>
        </w:r>
      </w:hyperlink>
      <w:r w:rsidRPr="00EB38C3">
        <w:rPr>
          <w:color w:val="1F497D"/>
          <w:sz w:val="24"/>
          <w:szCs w:val="24"/>
        </w:rPr>
        <w:t xml:space="preserve"> </w:t>
      </w:r>
      <w:r w:rsidRPr="00EB38C3">
        <w:rPr>
          <w:sz w:val="24"/>
          <w:szCs w:val="24"/>
        </w:rPr>
        <w:t>asking for input on GME in December 2014.  The committee’s approach was to focus on tying GME payments to performance to reallocate slots based upon community needs</w:t>
      </w:r>
      <w:r w:rsidR="002C175A" w:rsidRPr="00EB38C3">
        <w:rPr>
          <w:sz w:val="24"/>
          <w:szCs w:val="24"/>
        </w:rPr>
        <w:t xml:space="preserve"> rather than historic allocations to mainly large, urban teaching centers</w:t>
      </w:r>
      <w:r w:rsidRPr="00EB38C3">
        <w:rPr>
          <w:sz w:val="24"/>
          <w:szCs w:val="24"/>
        </w:rPr>
        <w:t>.  Since that time, legislators have been stalled on advancing GME reform legislation in the current Congress.  There are several introduced bills to change GME, but none have been acted upon.</w:t>
      </w:r>
      <w:r w:rsidR="002C175A" w:rsidRPr="00EB38C3">
        <w:rPr>
          <w:sz w:val="24"/>
          <w:szCs w:val="24"/>
        </w:rPr>
        <w:t xml:space="preserve">  The re-allocation of slots present significant political problems as there will be “winners and losers” in that battle.  </w:t>
      </w:r>
    </w:p>
    <w:p w14:paraId="143972B8" w14:textId="5DE82D4B" w:rsidR="00592CA7" w:rsidRPr="00EB38C3" w:rsidRDefault="0077223B" w:rsidP="002C175A">
      <w:pPr>
        <w:rPr>
          <w:rFonts w:eastAsia="Calibri" w:cstheme="minorHAnsi"/>
          <w:b/>
          <w:bCs/>
          <w:color w:val="000000"/>
          <w:sz w:val="24"/>
          <w:szCs w:val="24"/>
        </w:rPr>
      </w:pPr>
      <w:r w:rsidRPr="00EB38C3">
        <w:rPr>
          <w:b/>
          <w:sz w:val="24"/>
          <w:szCs w:val="24"/>
        </w:rPr>
        <w:t>AAPM&amp;R Focus</w:t>
      </w:r>
      <w:r w:rsidR="002C175A" w:rsidRPr="00EB38C3">
        <w:rPr>
          <w:b/>
          <w:sz w:val="24"/>
          <w:szCs w:val="24"/>
        </w:rPr>
        <w:t>/Request</w:t>
      </w:r>
      <w:r w:rsidRPr="00EB38C3">
        <w:rPr>
          <w:b/>
          <w:sz w:val="24"/>
          <w:szCs w:val="24"/>
        </w:rPr>
        <w:t xml:space="preserve">:  </w:t>
      </w:r>
      <w:r w:rsidR="002C175A" w:rsidRPr="00EB38C3">
        <w:rPr>
          <w:b/>
          <w:sz w:val="24"/>
          <w:szCs w:val="24"/>
        </w:rPr>
        <w:t>Support efforts to r</w:t>
      </w:r>
      <w:r w:rsidRPr="00EB38C3">
        <w:rPr>
          <w:b/>
          <w:sz w:val="24"/>
          <w:szCs w:val="24"/>
        </w:rPr>
        <w:t xml:space="preserve">eform the GME system to ensure that residencies are hospital </w:t>
      </w:r>
      <w:r w:rsidRPr="00EB38C3">
        <w:rPr>
          <w:b/>
          <w:sz w:val="24"/>
          <w:szCs w:val="24"/>
          <w:u w:val="single"/>
        </w:rPr>
        <w:t xml:space="preserve">and </w:t>
      </w:r>
      <w:r w:rsidRPr="00EB38C3">
        <w:rPr>
          <w:b/>
          <w:sz w:val="24"/>
          <w:szCs w:val="24"/>
        </w:rPr>
        <w:t xml:space="preserve">community-based, have sustainable funding, therefore result in </w:t>
      </w:r>
      <w:r w:rsidR="00592CA7" w:rsidRPr="00EB38C3">
        <w:rPr>
          <w:b/>
          <w:sz w:val="24"/>
          <w:szCs w:val="24"/>
        </w:rPr>
        <w:t xml:space="preserve">residents </w:t>
      </w:r>
      <w:r w:rsidRPr="00EB38C3">
        <w:rPr>
          <w:b/>
          <w:sz w:val="24"/>
          <w:szCs w:val="24"/>
        </w:rPr>
        <w:t xml:space="preserve">being </w:t>
      </w:r>
      <w:r w:rsidR="00592CA7" w:rsidRPr="00EB38C3">
        <w:rPr>
          <w:b/>
          <w:sz w:val="24"/>
          <w:szCs w:val="24"/>
        </w:rPr>
        <w:t xml:space="preserve">exposed to the practice of primary care in community-based settings where most patients </w:t>
      </w:r>
      <w:r w:rsidR="002C175A" w:rsidRPr="00EB38C3">
        <w:rPr>
          <w:b/>
          <w:sz w:val="24"/>
          <w:szCs w:val="24"/>
        </w:rPr>
        <w:t xml:space="preserve">often </w:t>
      </w:r>
      <w:r w:rsidR="00592CA7" w:rsidRPr="00EB38C3">
        <w:rPr>
          <w:b/>
          <w:sz w:val="24"/>
          <w:szCs w:val="24"/>
        </w:rPr>
        <w:t>receive th</w:t>
      </w:r>
      <w:r w:rsidR="002C175A" w:rsidRPr="00EB38C3">
        <w:rPr>
          <w:b/>
          <w:sz w:val="24"/>
          <w:szCs w:val="24"/>
        </w:rPr>
        <w:t>eir</w:t>
      </w:r>
      <w:r w:rsidR="00592CA7" w:rsidRPr="00EB38C3">
        <w:rPr>
          <w:b/>
          <w:sz w:val="24"/>
          <w:szCs w:val="24"/>
        </w:rPr>
        <w:t xml:space="preserve"> care</w:t>
      </w:r>
      <w:r w:rsidR="002C175A" w:rsidRPr="00EB38C3">
        <w:rPr>
          <w:b/>
          <w:sz w:val="24"/>
          <w:szCs w:val="24"/>
        </w:rPr>
        <w:t xml:space="preserve">.  Special emphasis should be placed on </w:t>
      </w:r>
      <w:r w:rsidR="00126073" w:rsidRPr="00EB38C3">
        <w:rPr>
          <w:b/>
          <w:sz w:val="24"/>
          <w:szCs w:val="24"/>
        </w:rPr>
        <w:t>funding GME in rural areas, post-acute care, and physician offices</w:t>
      </w:r>
      <w:r w:rsidR="002C175A" w:rsidRPr="00EB38C3">
        <w:rPr>
          <w:b/>
          <w:sz w:val="24"/>
          <w:szCs w:val="24"/>
        </w:rPr>
        <w:t>.</w:t>
      </w:r>
    </w:p>
    <w:p w14:paraId="67008C06" w14:textId="2BC5CCC5" w:rsidR="008F2972" w:rsidRPr="00EB38C3" w:rsidRDefault="009C7D74" w:rsidP="009C7D7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EB38C3">
        <w:rPr>
          <w:rFonts w:eastAsia="Calibri" w:cstheme="minorHAnsi"/>
          <w:b/>
          <w:bCs/>
          <w:color w:val="000000"/>
          <w:sz w:val="24"/>
          <w:szCs w:val="24"/>
        </w:rPr>
        <w:t xml:space="preserve">For more information, contact: </w:t>
      </w:r>
    </w:p>
    <w:p w14:paraId="4DCD375D" w14:textId="208231AC" w:rsidR="009C7D74" w:rsidRPr="00EB38C3" w:rsidRDefault="00473FED" w:rsidP="009C7D7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/>
          <w:sz w:val="24"/>
          <w:szCs w:val="24"/>
        </w:rPr>
      </w:pPr>
      <w:r w:rsidRPr="00EB38C3">
        <w:rPr>
          <w:rFonts w:eastAsia="Calibri" w:cstheme="minorHAnsi"/>
          <w:color w:val="000000"/>
          <w:sz w:val="24"/>
          <w:szCs w:val="24"/>
        </w:rPr>
        <w:t>Paul Smedberg</w:t>
      </w:r>
      <w:r w:rsidR="007160C3" w:rsidRPr="00EB38C3">
        <w:rPr>
          <w:rFonts w:eastAsia="Calibri" w:cstheme="minorHAnsi"/>
          <w:color w:val="000000"/>
          <w:sz w:val="24"/>
          <w:szCs w:val="24"/>
        </w:rPr>
        <w:t xml:space="preserve">, </w:t>
      </w:r>
      <w:r w:rsidR="00552DB8" w:rsidRPr="00EB38C3">
        <w:rPr>
          <w:rFonts w:eastAsia="Calibri" w:cstheme="minorHAnsi"/>
          <w:color w:val="000000"/>
          <w:sz w:val="24"/>
          <w:szCs w:val="24"/>
        </w:rPr>
        <w:t>Director</w:t>
      </w:r>
      <w:r w:rsidR="0028789A" w:rsidRPr="00EB38C3">
        <w:rPr>
          <w:rFonts w:eastAsia="Calibri" w:cstheme="minorHAnsi"/>
          <w:color w:val="000000"/>
          <w:sz w:val="24"/>
          <w:szCs w:val="24"/>
        </w:rPr>
        <w:t xml:space="preserve">, Advocacy &amp; Government Affairs, </w:t>
      </w:r>
      <w:r w:rsidR="009C7D74" w:rsidRPr="00EB38C3">
        <w:rPr>
          <w:rFonts w:eastAsia="Calibri" w:cstheme="minorHAnsi"/>
          <w:color w:val="000000"/>
          <w:sz w:val="24"/>
          <w:szCs w:val="24"/>
        </w:rPr>
        <w:t xml:space="preserve">AAPM&amp;R </w:t>
      </w:r>
    </w:p>
    <w:p w14:paraId="6DCB5A33" w14:textId="665285D1" w:rsidR="00482013" w:rsidRPr="00EB38C3" w:rsidRDefault="00552DB8" w:rsidP="001F41EE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/>
          <w:sz w:val="24"/>
          <w:szCs w:val="24"/>
        </w:rPr>
      </w:pPr>
      <w:r w:rsidRPr="00EB38C3">
        <w:rPr>
          <w:rFonts w:eastAsia="Calibri" w:cstheme="minorHAnsi"/>
          <w:color w:val="000000"/>
          <w:sz w:val="24"/>
          <w:szCs w:val="24"/>
        </w:rPr>
        <w:t>(202) 349-4280</w:t>
      </w:r>
      <w:r w:rsidR="007160C3" w:rsidRPr="00EB38C3">
        <w:rPr>
          <w:rFonts w:eastAsia="Calibri" w:cstheme="minorHAnsi"/>
          <w:color w:val="000000"/>
          <w:sz w:val="24"/>
          <w:szCs w:val="24"/>
        </w:rPr>
        <w:t xml:space="preserve">, </w:t>
      </w:r>
      <w:hyperlink r:id="rId10" w:history="1">
        <w:r w:rsidR="001F41EE" w:rsidRPr="00EB38C3">
          <w:rPr>
            <w:rStyle w:val="Hyperlink"/>
            <w:sz w:val="24"/>
            <w:szCs w:val="24"/>
          </w:rPr>
          <w:t>psmedberg@aapmr.org</w:t>
        </w:r>
      </w:hyperlink>
    </w:p>
    <w:sectPr w:rsidR="00482013" w:rsidRPr="00EB38C3" w:rsidSect="00EB38C3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864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A8016" w14:textId="77777777" w:rsidR="005A027C" w:rsidRDefault="005A027C">
      <w:r>
        <w:separator/>
      </w:r>
    </w:p>
  </w:endnote>
  <w:endnote w:type="continuationSeparator" w:id="0">
    <w:p w14:paraId="223D263D" w14:textId="77777777" w:rsidR="005A027C" w:rsidRDefault="005A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2FE40" w14:textId="61E671BE" w:rsidR="00C949AF" w:rsidRPr="0076411D" w:rsidRDefault="00C949AF">
    <w:pPr>
      <w:pStyle w:val="Footer"/>
    </w:pPr>
    <w:r w:rsidRPr="0076411D">
      <w:rPr>
        <w:noProof/>
      </w:rPr>
      <w:drawing>
        <wp:anchor distT="0" distB="0" distL="114300" distR="114300" simplePos="0" relativeHeight="251659776" behindDoc="0" locked="0" layoutInCell="1" allowOverlap="1" wp14:anchorId="5CEDD597" wp14:editId="2B27F698">
          <wp:simplePos x="0" y="0"/>
          <wp:positionH relativeFrom="column">
            <wp:posOffset>3799840</wp:posOffset>
          </wp:positionH>
          <wp:positionV relativeFrom="paragraph">
            <wp:posOffset>267335</wp:posOffset>
          </wp:positionV>
          <wp:extent cx="1502410" cy="99060"/>
          <wp:effectExtent l="19050" t="0" r="2540" b="0"/>
          <wp:wrapNone/>
          <wp:docPr id="26" name="Picture 26" descr="tagli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glin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2410" cy="99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9C6E7" w14:textId="60A67CDC" w:rsidR="00C949AF" w:rsidRPr="0076411D" w:rsidRDefault="00C949AF" w:rsidP="007974BF">
    <w:pPr>
      <w:pStyle w:val="Footer"/>
      <w:tabs>
        <w:tab w:val="clear" w:pos="4320"/>
        <w:tab w:val="clear" w:pos="8640"/>
        <w:tab w:val="left" w:pos="1540"/>
      </w:tabs>
    </w:pPr>
    <w:r w:rsidRPr="0076411D">
      <w:rPr>
        <w:noProof/>
      </w:rPr>
      <w:drawing>
        <wp:anchor distT="0" distB="0" distL="114300" distR="114300" simplePos="0" relativeHeight="251653630" behindDoc="0" locked="0" layoutInCell="1" allowOverlap="1" wp14:anchorId="5D520EDE" wp14:editId="527A9A15">
          <wp:simplePos x="0" y="0"/>
          <wp:positionH relativeFrom="column">
            <wp:posOffset>4809490</wp:posOffset>
          </wp:positionH>
          <wp:positionV relativeFrom="paragraph">
            <wp:posOffset>267335</wp:posOffset>
          </wp:positionV>
          <wp:extent cx="1502410" cy="99060"/>
          <wp:effectExtent l="0" t="0" r="2540" b="0"/>
          <wp:wrapNone/>
          <wp:docPr id="28" name="Picture 1" descr="tagli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glin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2410" cy="99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1E41B" w14:textId="77777777" w:rsidR="005A027C" w:rsidRDefault="005A027C">
      <w:r>
        <w:separator/>
      </w:r>
    </w:p>
  </w:footnote>
  <w:footnote w:type="continuationSeparator" w:id="0">
    <w:p w14:paraId="09D00DBF" w14:textId="77777777" w:rsidR="005A027C" w:rsidRDefault="005A0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98112" w14:textId="77777777" w:rsidR="00C949AF" w:rsidRDefault="00C949A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F203805" wp14:editId="121223A3">
          <wp:simplePos x="0" y="0"/>
          <wp:positionH relativeFrom="page">
            <wp:posOffset>283210</wp:posOffset>
          </wp:positionH>
          <wp:positionV relativeFrom="page">
            <wp:posOffset>804545</wp:posOffset>
          </wp:positionV>
          <wp:extent cx="1442085" cy="255905"/>
          <wp:effectExtent l="19050" t="0" r="5715" b="0"/>
          <wp:wrapNone/>
          <wp:docPr id="25" name="Picture 25" descr="s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s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255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410C3" w14:textId="77777777" w:rsidR="00C949AF" w:rsidRDefault="00C949AF">
    <w:pPr>
      <w:pStyle w:val="Header"/>
    </w:pPr>
    <w:r>
      <w:rPr>
        <w:noProof/>
      </w:rPr>
      <w:drawing>
        <wp:anchor distT="0" distB="0" distL="114300" distR="114300" simplePos="0" relativeHeight="251654655" behindDoc="0" locked="0" layoutInCell="1" allowOverlap="1" wp14:anchorId="372BFEE9" wp14:editId="77A94C7D">
          <wp:simplePos x="0" y="0"/>
          <wp:positionH relativeFrom="column">
            <wp:posOffset>-762635</wp:posOffset>
          </wp:positionH>
          <wp:positionV relativeFrom="paragraph">
            <wp:posOffset>-40005</wp:posOffset>
          </wp:positionV>
          <wp:extent cx="4282440" cy="716280"/>
          <wp:effectExtent l="0" t="0" r="0" b="0"/>
          <wp:wrapNone/>
          <wp:docPr id="27" name="Picture 27" descr="addressh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h_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244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E15EB"/>
    <w:multiLevelType w:val="hybridMultilevel"/>
    <w:tmpl w:val="230E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B3087"/>
    <w:multiLevelType w:val="hybridMultilevel"/>
    <w:tmpl w:val="E8186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9668B"/>
    <w:multiLevelType w:val="hybridMultilevel"/>
    <w:tmpl w:val="82C2C352"/>
    <w:lvl w:ilvl="0" w:tplc="4C8037F8">
      <w:start w:val="1"/>
      <w:numFmt w:val="decimal"/>
      <w:lvlText w:val="%1."/>
      <w:lvlJc w:val="left"/>
      <w:pPr>
        <w:ind w:left="288" w:hanging="288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A353C"/>
    <w:multiLevelType w:val="hybridMultilevel"/>
    <w:tmpl w:val="097E9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93"/>
    <w:rsid w:val="00080132"/>
    <w:rsid w:val="00084891"/>
    <w:rsid w:val="000A2D19"/>
    <w:rsid w:val="000C520F"/>
    <w:rsid w:val="000F301E"/>
    <w:rsid w:val="000F7A67"/>
    <w:rsid w:val="00126073"/>
    <w:rsid w:val="001743CD"/>
    <w:rsid w:val="001C2641"/>
    <w:rsid w:val="001D26C5"/>
    <w:rsid w:val="001E7F11"/>
    <w:rsid w:val="001F41EE"/>
    <w:rsid w:val="00260486"/>
    <w:rsid w:val="0028789A"/>
    <w:rsid w:val="002A369E"/>
    <w:rsid w:val="002C175A"/>
    <w:rsid w:val="002D308B"/>
    <w:rsid w:val="002D46BC"/>
    <w:rsid w:val="002D55C1"/>
    <w:rsid w:val="002E4A26"/>
    <w:rsid w:val="003017B0"/>
    <w:rsid w:val="0030644B"/>
    <w:rsid w:val="00320492"/>
    <w:rsid w:val="0032759D"/>
    <w:rsid w:val="00342EA7"/>
    <w:rsid w:val="00360219"/>
    <w:rsid w:val="00366107"/>
    <w:rsid w:val="003B6B39"/>
    <w:rsid w:val="003E6A17"/>
    <w:rsid w:val="00435D79"/>
    <w:rsid w:val="00435DFA"/>
    <w:rsid w:val="00455E02"/>
    <w:rsid w:val="004608E2"/>
    <w:rsid w:val="00473FED"/>
    <w:rsid w:val="00482013"/>
    <w:rsid w:val="00484CBB"/>
    <w:rsid w:val="0048548E"/>
    <w:rsid w:val="00490393"/>
    <w:rsid w:val="004F6054"/>
    <w:rsid w:val="00511301"/>
    <w:rsid w:val="00552DB8"/>
    <w:rsid w:val="00555803"/>
    <w:rsid w:val="00592CA7"/>
    <w:rsid w:val="005A027C"/>
    <w:rsid w:val="005C75ED"/>
    <w:rsid w:val="00604EBB"/>
    <w:rsid w:val="00611BCB"/>
    <w:rsid w:val="00615D5B"/>
    <w:rsid w:val="006370B5"/>
    <w:rsid w:val="00643E27"/>
    <w:rsid w:val="006877AF"/>
    <w:rsid w:val="00687DEE"/>
    <w:rsid w:val="006F3489"/>
    <w:rsid w:val="007010D5"/>
    <w:rsid w:val="007160C3"/>
    <w:rsid w:val="00734EF6"/>
    <w:rsid w:val="00743A10"/>
    <w:rsid w:val="00744E10"/>
    <w:rsid w:val="00762F5F"/>
    <w:rsid w:val="00763108"/>
    <w:rsid w:val="0076411D"/>
    <w:rsid w:val="0077223B"/>
    <w:rsid w:val="007947A7"/>
    <w:rsid w:val="007974BF"/>
    <w:rsid w:val="007B54A8"/>
    <w:rsid w:val="007B6F30"/>
    <w:rsid w:val="007C1BD8"/>
    <w:rsid w:val="007D3C82"/>
    <w:rsid w:val="00801B02"/>
    <w:rsid w:val="00820059"/>
    <w:rsid w:val="00826CDF"/>
    <w:rsid w:val="0084001A"/>
    <w:rsid w:val="00854E65"/>
    <w:rsid w:val="00887E55"/>
    <w:rsid w:val="008B4CF7"/>
    <w:rsid w:val="008D449A"/>
    <w:rsid w:val="008F2972"/>
    <w:rsid w:val="00930297"/>
    <w:rsid w:val="00935FDB"/>
    <w:rsid w:val="00957EAA"/>
    <w:rsid w:val="009C7D74"/>
    <w:rsid w:val="009E1979"/>
    <w:rsid w:val="00A142B5"/>
    <w:rsid w:val="00A14656"/>
    <w:rsid w:val="00A22DFB"/>
    <w:rsid w:val="00A36B08"/>
    <w:rsid w:val="00A441B2"/>
    <w:rsid w:val="00A5658B"/>
    <w:rsid w:val="00A73C67"/>
    <w:rsid w:val="00B0494E"/>
    <w:rsid w:val="00B355DD"/>
    <w:rsid w:val="00BD4F8E"/>
    <w:rsid w:val="00C0457F"/>
    <w:rsid w:val="00C1035F"/>
    <w:rsid w:val="00C32EAA"/>
    <w:rsid w:val="00C70D0C"/>
    <w:rsid w:val="00C949AF"/>
    <w:rsid w:val="00CD47B6"/>
    <w:rsid w:val="00D4678A"/>
    <w:rsid w:val="00D55E44"/>
    <w:rsid w:val="00D80AB3"/>
    <w:rsid w:val="00D90368"/>
    <w:rsid w:val="00D90FBB"/>
    <w:rsid w:val="00DA7887"/>
    <w:rsid w:val="00DB2101"/>
    <w:rsid w:val="00DF242F"/>
    <w:rsid w:val="00E45C18"/>
    <w:rsid w:val="00E51FAB"/>
    <w:rsid w:val="00E57F3B"/>
    <w:rsid w:val="00E66D42"/>
    <w:rsid w:val="00E75F29"/>
    <w:rsid w:val="00E96617"/>
    <w:rsid w:val="00EA51FB"/>
    <w:rsid w:val="00EB38C3"/>
    <w:rsid w:val="00EC2CEA"/>
    <w:rsid w:val="00EE023B"/>
    <w:rsid w:val="00EF0479"/>
    <w:rsid w:val="00F5236C"/>
    <w:rsid w:val="00F70F16"/>
    <w:rsid w:val="00F873F6"/>
    <w:rsid w:val="00FC33F6"/>
    <w:rsid w:val="00FC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CB9414"/>
  <w15:docId w15:val="{ABC6C2E9-0835-49A5-815B-29C20850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AB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5473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4"/>
    </w:rPr>
  </w:style>
  <w:style w:type="paragraph" w:styleId="Footer">
    <w:name w:val="footer"/>
    <w:basedOn w:val="Normal"/>
    <w:rsid w:val="00E15473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rsid w:val="00E15473"/>
    <w:rPr>
      <w:color w:val="0000FF"/>
      <w:u w:val="single"/>
    </w:rPr>
  </w:style>
  <w:style w:type="paragraph" w:styleId="BalloonText">
    <w:name w:val="Balloon Text"/>
    <w:basedOn w:val="Normal"/>
    <w:semiHidden/>
    <w:rsid w:val="000F0C8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112D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15D5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Times New Roman"/>
      <w:szCs w:val="24"/>
    </w:rPr>
  </w:style>
  <w:style w:type="paragraph" w:customStyle="1" w:styleId="text">
    <w:name w:val="text"/>
    <w:basedOn w:val="Normal"/>
    <w:uiPriority w:val="99"/>
    <w:rsid w:val="00FC611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611B"/>
    <w:rPr>
      <w:b/>
      <w:bCs/>
    </w:rPr>
  </w:style>
  <w:style w:type="character" w:styleId="CommentReference">
    <w:name w:val="annotation reference"/>
    <w:basedOn w:val="DefaultParagraphFont"/>
    <w:rsid w:val="005113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113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1130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5113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11301"/>
    <w:rPr>
      <w:rFonts w:ascii="Arial" w:hAnsi="Arial"/>
      <w:b/>
      <w:bCs/>
    </w:rPr>
  </w:style>
  <w:style w:type="paragraph" w:styleId="NoSpacing">
    <w:name w:val="No Spacing"/>
    <w:uiPriority w:val="1"/>
    <w:qFormat/>
    <w:rsid w:val="00D80AB3"/>
    <w:rPr>
      <w:rFonts w:asciiTheme="minorHAnsi" w:eastAsiaTheme="minorHAnsi" w:hAnsiTheme="minorHAnsi" w:cstheme="minorBidi"/>
      <w:sz w:val="22"/>
      <w:szCs w:val="22"/>
    </w:rPr>
  </w:style>
  <w:style w:type="paragraph" w:styleId="List">
    <w:name w:val="List"/>
    <w:basedOn w:val="Normal"/>
    <w:uiPriority w:val="99"/>
    <w:unhideWhenUsed/>
    <w:rsid w:val="001743CD"/>
    <w:pPr>
      <w:spacing w:after="0" w:line="240" w:lineRule="auto"/>
      <w:ind w:left="360" w:hanging="360"/>
    </w:pPr>
  </w:style>
  <w:style w:type="character" w:styleId="PlaceholderText">
    <w:name w:val="Placeholder Text"/>
    <w:basedOn w:val="DefaultParagraphFont"/>
    <w:uiPriority w:val="99"/>
    <w:rsid w:val="0032759D"/>
    <w:rPr>
      <w:color w:val="808080"/>
    </w:rPr>
  </w:style>
  <w:style w:type="paragraph" w:customStyle="1" w:styleId="Category">
    <w:name w:val="Category"/>
    <w:basedOn w:val="Normal"/>
    <w:uiPriority w:val="1"/>
    <w:rsid w:val="0032759D"/>
    <w:pPr>
      <w:framePr w:hSpace="187" w:wrap="around" w:hAnchor="margin" w:xAlign="center" w:yAlign="top"/>
      <w:suppressOverlap/>
    </w:pPr>
    <w:rPr>
      <w:rFonts w:eastAsiaTheme="minorEastAsia"/>
      <w:color w:val="FFFFFF" w:themeColor="background1"/>
      <w:kern w:val="24"/>
      <w:sz w:val="20"/>
      <w:szCs w:val="20"/>
      <w:lang w:bidi="en-US"/>
    </w:rPr>
  </w:style>
  <w:style w:type="paragraph" w:customStyle="1" w:styleId="Entry">
    <w:name w:val="Entry"/>
    <w:basedOn w:val="Normal"/>
    <w:uiPriority w:val="1"/>
    <w:rsid w:val="0032759D"/>
    <w:pPr>
      <w:framePr w:hSpace="187" w:wrap="around" w:hAnchor="margin" w:xAlign="center" w:yAlign="top"/>
      <w:suppressOverlap/>
    </w:pPr>
    <w:rPr>
      <w:rFonts w:eastAsiaTheme="minorEastAsia"/>
      <w:kern w:val="24"/>
      <w:sz w:val="20"/>
      <w:szCs w:val="20"/>
      <w:lang w:bidi="en-US"/>
    </w:rPr>
  </w:style>
  <w:style w:type="paragraph" w:customStyle="1" w:styleId="Default">
    <w:name w:val="Default"/>
    <w:rsid w:val="0093029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m.edu/Activities/Workforce/GMEGovFinance.asp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smedberg@aapm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ergycommerce.house.gov/sites/republicans.energycommerce.house.gov/files/letters/20141208GMELetter.pdf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rporate%20Relations\2011\Letterhead\2011%20aapmr%20Executive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E5A9B-C51F-4316-AB54-5510C1C6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2011 aapmr Executive Letterhead</Template>
  <TotalTime>0</TotalTime>
  <Pages>1</Pages>
  <Words>464</Words>
  <Characters>2649</Characters>
  <Application>Microsoft Office Word</Application>
  <DocSecurity>0</DocSecurity>
  <PresentationFormat/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GME TPs (D0607469).DOCX</vt:lpstr>
    </vt:vector>
  </TitlesOfParts>
  <Company>FROM:  Marsha East, AAPM&amp;R</Company>
  <LinksUpToDate>false</LinksUpToDate>
  <CharactersWithSpaces>3107</CharactersWithSpaces>
  <SharedDoc>false</SharedDoc>
  <HLinks>
    <vt:vector size="18" baseType="variant">
      <vt:variant>
        <vt:i4>1245253</vt:i4>
      </vt:variant>
      <vt:variant>
        <vt:i4>-1</vt:i4>
      </vt:variant>
      <vt:variant>
        <vt:i4>1034</vt:i4>
      </vt:variant>
      <vt:variant>
        <vt:i4>1</vt:i4>
      </vt:variant>
      <vt:variant>
        <vt:lpwstr>Logo+Address</vt:lpwstr>
      </vt:variant>
      <vt:variant>
        <vt:lpwstr/>
      </vt:variant>
      <vt:variant>
        <vt:i4>2162732</vt:i4>
      </vt:variant>
      <vt:variant>
        <vt:i4>-1</vt:i4>
      </vt:variant>
      <vt:variant>
        <vt:i4>1032</vt:i4>
      </vt:variant>
      <vt:variant>
        <vt:i4>1</vt:i4>
      </vt:variant>
      <vt:variant>
        <vt:lpwstr>BoardMembers_letterhead_2011</vt:lpwstr>
      </vt:variant>
      <vt:variant>
        <vt:lpwstr/>
      </vt:variant>
      <vt:variant>
        <vt:i4>6094901</vt:i4>
      </vt:variant>
      <vt:variant>
        <vt:i4>-1</vt:i4>
      </vt:variant>
      <vt:variant>
        <vt:i4>1033</vt:i4>
      </vt:variant>
      <vt:variant>
        <vt:i4>1</vt:i4>
      </vt:variant>
      <vt:variant>
        <vt:lpwstr>tagline_letterhead_2011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GME TPs (D0607469).DOCX</dc:title>
  <dc:subject>wdNOSTAMP</dc:subject>
  <dc:creator>TO:  Trish</dc:creator>
  <dc:description>DO NOT STAMP</dc:description>
  <cp:lastModifiedBy>Paul Smedberg</cp:lastModifiedBy>
  <cp:revision>2</cp:revision>
  <cp:lastPrinted>2015-06-16T13:28:00Z</cp:lastPrinted>
  <dcterms:created xsi:type="dcterms:W3CDTF">2015-10-30T19:45:00Z</dcterms:created>
  <dcterms:modified xsi:type="dcterms:W3CDTF">2015-10-30T19:45:00Z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gFAA2RjfPKrF47jXfQ97Z3gQd2MWj1NMXSPSgM+shb5EW0SrknZwgyKsT90i4Ihqul28gV8RE9WCQ1Vs
nEb1+KbTIl9l8eKnaxESdRUuXXbGa5xRNuceARkr8Dl+OxMB652Rck1LJIB5aVJiLA+i6Z2iCR2c
48P/5ogr59Np9zvCysRmv+FACukx/dgKnqgVrckP6fC3Wnf1fB0blkKoYH2YWr6JZBRCko3JjRlj
iwZaJWhW3LhgWX6ZF</vt:lpwstr>
  </property>
  <property fmtid="{D5CDD505-2E9C-101B-9397-08002B2CF9AE}" pid="3" name="MAIL_MSG_ID2">
    <vt:lpwstr>87NDkQqFR2kHHFxwKm4yrzopsA//pqTSR3NpOQasU2rSVZHxbkMzTgFtAX5
V6dp1OGpLP/BZA9Ll05s/tNBZossiezXZPFeuA==</vt:lpwstr>
  </property>
  <property fmtid="{D5CDD505-2E9C-101B-9397-08002B2CF9AE}" pid="4" name="RESPONSE_SENDER_NAME">
    <vt:lpwstr>sAAA4E8dREqJqIrTQUMbh8ANCj3tP/IU6o8ntutKX11qGfg=</vt:lpwstr>
  </property>
  <property fmtid="{D5CDD505-2E9C-101B-9397-08002B2CF9AE}" pid="5" name="EMAIL_OWNER_ADDRESS">
    <vt:lpwstr>4AAA4Lxe55UJ0C9uSmJ5/Xdd+WSLLEP2JHVOMvRb+0NY8mQhGB03EFJQ9Q==</vt:lpwstr>
  </property>
</Properties>
</file>