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B3123" w14:textId="77777777" w:rsidR="00605ADC" w:rsidRPr="002760DC" w:rsidRDefault="00605ADC" w:rsidP="002760DC">
      <w:pPr>
        <w:pStyle w:val="Header"/>
        <w:tabs>
          <w:tab w:val="clear" w:pos="4320"/>
          <w:tab w:val="clear" w:pos="8640"/>
        </w:tabs>
        <w:jc w:val="center"/>
        <w:rPr>
          <w:rFonts w:ascii="Times New Roman" w:hAnsi="Times New Roman"/>
          <w:szCs w:val="22"/>
        </w:rPr>
      </w:pPr>
      <w:r w:rsidRPr="002760DC">
        <w:rPr>
          <w:rFonts w:ascii="Times New Roman" w:hAnsi="Times New Roman"/>
          <w:noProof/>
          <w:szCs w:val="22"/>
        </w:rPr>
        <w:drawing>
          <wp:inline distT="0" distB="0" distL="0" distR="0" wp14:anchorId="098FF25B" wp14:editId="725137EA">
            <wp:extent cx="2514600" cy="647700"/>
            <wp:effectExtent l="0" t="0" r="0" b="0"/>
            <wp:docPr id="1" name="Picture 1" descr="PM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MR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647700"/>
                    </a:xfrm>
                    <a:prstGeom prst="rect">
                      <a:avLst/>
                    </a:prstGeom>
                    <a:noFill/>
                    <a:ln>
                      <a:noFill/>
                    </a:ln>
                  </pic:spPr>
                </pic:pic>
              </a:graphicData>
            </a:graphic>
          </wp:inline>
        </w:drawing>
      </w:r>
    </w:p>
    <w:p w14:paraId="5DC8F1D7" w14:textId="77777777" w:rsidR="00605ADC" w:rsidRPr="002760DC" w:rsidRDefault="00605ADC" w:rsidP="002760DC">
      <w:pPr>
        <w:spacing w:after="0" w:line="240" w:lineRule="auto"/>
        <w:jc w:val="center"/>
        <w:rPr>
          <w:rFonts w:ascii="Times New Roman" w:hAnsi="Times New Roman" w:cs="Times New Roman"/>
          <w:b/>
        </w:rPr>
      </w:pPr>
      <w:r w:rsidRPr="002760DC">
        <w:rPr>
          <w:rFonts w:ascii="Times New Roman" w:hAnsi="Times New Roman" w:cs="Times New Roman"/>
          <w:b/>
        </w:rPr>
        <w:t>AAPM&amp;R Conflict of Interest Disclosure and Resolution Policy</w:t>
      </w:r>
    </w:p>
    <w:p w14:paraId="00F2B50D" w14:textId="77777777" w:rsidR="00605ADC" w:rsidRPr="002760DC" w:rsidRDefault="00605ADC" w:rsidP="002760DC">
      <w:pPr>
        <w:spacing w:after="0" w:line="240" w:lineRule="auto"/>
        <w:rPr>
          <w:rFonts w:ascii="Times New Roman" w:hAnsi="Times New Roman" w:cs="Times New Roman"/>
        </w:rPr>
      </w:pPr>
    </w:p>
    <w:p w14:paraId="4CAFBBA1" w14:textId="40E2D1FA" w:rsid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has adopted and built upon the Council for Medical Specialty Societies’ (CMSS) Code for Interactions with Companies. AAPM&amp;R’s policies acknowledge and affirm:</w:t>
      </w:r>
    </w:p>
    <w:p w14:paraId="589E4B4C" w14:textId="77777777" w:rsidR="002760DC" w:rsidRPr="002760DC" w:rsidRDefault="002760DC" w:rsidP="002760DC">
      <w:pPr>
        <w:spacing w:after="0" w:line="240" w:lineRule="auto"/>
        <w:rPr>
          <w:rFonts w:ascii="Times New Roman" w:hAnsi="Times New Roman" w:cs="Times New Roman"/>
        </w:rPr>
      </w:pPr>
    </w:p>
    <w:p w14:paraId="0CBDF8FE" w14:textId="77777777" w:rsidR="002760DC" w:rsidRPr="002760DC" w:rsidRDefault="002760DC" w:rsidP="002760DC">
      <w:pPr>
        <w:numPr>
          <w:ilvl w:val="0"/>
          <w:numId w:val="5"/>
        </w:numPr>
        <w:spacing w:after="0" w:line="240" w:lineRule="auto"/>
        <w:rPr>
          <w:rFonts w:ascii="Times New Roman" w:hAnsi="Times New Roman" w:cs="Times New Roman"/>
        </w:rPr>
      </w:pPr>
      <w:r w:rsidRPr="002760DC">
        <w:rPr>
          <w:rFonts w:ascii="Times New Roman" w:hAnsi="Times New Roman" w:cs="Times New Roman"/>
        </w:rPr>
        <w:t>That AAPM&amp;R</w:t>
      </w:r>
    </w:p>
    <w:p w14:paraId="6F05D228" w14:textId="77777777"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Plays an important role in reaching out to health professionals, patients, and other groups;</w:t>
      </w:r>
    </w:p>
    <w:p w14:paraId="4D5C36FA" w14:textId="557CAD09"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Has member</w:t>
      </w:r>
      <w:r>
        <w:rPr>
          <w:rFonts w:ascii="Times New Roman" w:hAnsi="Times New Roman" w:cs="Times New Roman"/>
        </w:rPr>
        <w:t>s</w:t>
      </w:r>
      <w:r w:rsidRPr="002760DC">
        <w:rPr>
          <w:rFonts w:ascii="Times New Roman" w:hAnsi="Times New Roman" w:cs="Times New Roman"/>
        </w:rPr>
        <w:t xml:space="preserve"> who guide research, discover new therapies, and engage in high quality medical practice;</w:t>
      </w:r>
    </w:p>
    <w:p w14:paraId="65B5E4C4" w14:textId="77777777"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Offers educational opportunities that help translate scientific and medical progress into the efficient delivery of effective medical care;</w:t>
      </w:r>
    </w:p>
    <w:p w14:paraId="0E162C24" w14:textId="77777777"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Develops resources that guide our members in advancing medical care;</w:t>
      </w:r>
    </w:p>
    <w:p w14:paraId="03A81B00" w14:textId="77777777" w:rsidR="002760DC" w:rsidRPr="002760DC" w:rsidRDefault="002760DC" w:rsidP="002760DC">
      <w:pPr>
        <w:numPr>
          <w:ilvl w:val="1"/>
          <w:numId w:val="5"/>
        </w:numPr>
        <w:spacing w:after="0" w:line="240" w:lineRule="auto"/>
        <w:rPr>
          <w:rFonts w:ascii="Times New Roman" w:hAnsi="Times New Roman" w:cs="Times New Roman"/>
        </w:rPr>
      </w:pPr>
      <w:r w:rsidRPr="002760DC">
        <w:rPr>
          <w:rFonts w:ascii="Times New Roman" w:hAnsi="Times New Roman" w:cs="Times New Roman"/>
        </w:rPr>
        <w:t>Provides a forum for presenting new skills and scientific developments.</w:t>
      </w:r>
    </w:p>
    <w:p w14:paraId="63209222" w14:textId="77777777" w:rsidR="002760DC" w:rsidRPr="002760DC" w:rsidRDefault="002760DC" w:rsidP="002760DC">
      <w:pPr>
        <w:numPr>
          <w:ilvl w:val="0"/>
          <w:numId w:val="5"/>
        </w:numPr>
        <w:spacing w:after="0" w:line="240" w:lineRule="auto"/>
        <w:rPr>
          <w:rFonts w:ascii="Times New Roman" w:hAnsi="Times New Roman" w:cs="Times New Roman"/>
        </w:rPr>
      </w:pPr>
      <w:r w:rsidRPr="002760DC">
        <w:rPr>
          <w:rFonts w:ascii="Times New Roman" w:hAnsi="Times New Roman" w:cs="Times New Roman"/>
        </w:rPr>
        <w:t>That for-profit entities that develop, produce, market or distribute drugs, devices, services or therapies used to diagnose, treat, monitor, manage, and alleviate health conditions, referred to in AAPM&amp;R policies as “Company and/or Commercial Interest,” also strive to help patients live longer and healthier lives. Companies and Commercial Interests invest resources to bring new drugs, devices and therapies out of the laboratory and to the patient while maximizing value for shareholders.</w:t>
      </w:r>
    </w:p>
    <w:p w14:paraId="739318F6" w14:textId="77777777" w:rsidR="002760DC" w:rsidRPr="002760DC" w:rsidRDefault="002760DC" w:rsidP="002760DC">
      <w:pPr>
        <w:numPr>
          <w:ilvl w:val="0"/>
          <w:numId w:val="5"/>
        </w:numPr>
        <w:spacing w:after="0" w:line="240" w:lineRule="auto"/>
        <w:rPr>
          <w:rFonts w:ascii="Times New Roman" w:hAnsi="Times New Roman" w:cs="Times New Roman"/>
        </w:rPr>
      </w:pPr>
      <w:r w:rsidRPr="002760DC">
        <w:rPr>
          <w:rFonts w:ascii="Times New Roman" w:hAnsi="Times New Roman" w:cs="Times New Roman"/>
        </w:rPr>
        <w:t>That Members and patients count on the Academy to be an authoritative, independent voice in the world of science and medicine. Public confidence in AAPM&amp;R’s objectivity is critical to carrying out its mission. AAPM&amp;R knows the public relies on and expect it to minimize actual and perceived conflicts of interest. AAPM&amp;R believes it must be sure its interactions with Companies and Commercial Interests meet high ethical standards.</w:t>
      </w:r>
    </w:p>
    <w:p w14:paraId="6D3183CF" w14:textId="77777777" w:rsidR="002760DC" w:rsidRPr="002760DC" w:rsidRDefault="002760DC" w:rsidP="002760DC">
      <w:pPr>
        <w:numPr>
          <w:ilvl w:val="0"/>
          <w:numId w:val="5"/>
        </w:numPr>
        <w:spacing w:after="0" w:line="240" w:lineRule="auto"/>
        <w:rPr>
          <w:rFonts w:ascii="Times New Roman" w:hAnsi="Times New Roman" w:cs="Times New Roman"/>
        </w:rPr>
      </w:pPr>
      <w:r w:rsidRPr="002760DC">
        <w:rPr>
          <w:rFonts w:ascii="Times New Roman" w:hAnsi="Times New Roman" w:cs="Times New Roman"/>
        </w:rPr>
        <w:t xml:space="preserve">That AAPM&amp;R’s interactions with Companies and Commercial Interests may include receiving charitable contributions, applying for grants in support of programmatic activities, and conducting a range of business transactions. In all of these interactions, Societies are committed to acting with integrity. </w:t>
      </w:r>
    </w:p>
    <w:p w14:paraId="47ECC568" w14:textId="77777777" w:rsidR="002760DC" w:rsidRDefault="002760DC" w:rsidP="002760DC">
      <w:pPr>
        <w:spacing w:after="0" w:line="240" w:lineRule="auto"/>
        <w:rPr>
          <w:rFonts w:ascii="Times New Roman" w:hAnsi="Times New Roman" w:cs="Times New Roman"/>
        </w:rPr>
      </w:pPr>
    </w:p>
    <w:p w14:paraId="07F37E3D" w14:textId="2B0708E3"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AAPM&amp;R’s policies reinforce the core principles that help maintain actual and perceived independence and help to ensure that AAPM&amp;R’s interactions with Companies and Commercial Interests will be for the benefit of patients and members and for the improvement of care in our respective specialty fields.</w:t>
      </w:r>
    </w:p>
    <w:p w14:paraId="233EAB0D" w14:textId="77777777" w:rsidR="002760DC" w:rsidRPr="002760DC" w:rsidRDefault="002760DC" w:rsidP="002760DC">
      <w:pPr>
        <w:spacing w:after="0" w:line="240" w:lineRule="auto"/>
        <w:rPr>
          <w:rFonts w:ascii="Times New Roman" w:hAnsi="Times New Roman" w:cs="Times New Roman"/>
        </w:rPr>
      </w:pPr>
    </w:p>
    <w:p w14:paraId="3634D0BD" w14:textId="77777777"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requires all individuals who are in a position to affect the strategic direction of AAPM&amp;R and/or the content of an educational activity to disclose any financial relationships with a company and/or commercial interest. CMSS defines a company as “a for-profit entity that develops, produces, markets, or distributes drugs, devices, services or therapies used to diagnose, treat, monitor, manage, and alleviate health conditions”. This definition is not intended to include non-profit entities, entities outside of the healthcare sector, or entities through which physicians provide clinical services directly to patients.</w:t>
      </w:r>
    </w:p>
    <w:p w14:paraId="2338B349" w14:textId="77777777" w:rsidR="002760DC" w:rsidRPr="002760DC" w:rsidRDefault="002760DC" w:rsidP="002760DC">
      <w:pPr>
        <w:spacing w:after="0" w:line="240" w:lineRule="auto"/>
        <w:rPr>
          <w:rFonts w:ascii="Times New Roman" w:hAnsi="Times New Roman" w:cs="Times New Roman"/>
        </w:rPr>
      </w:pPr>
    </w:p>
    <w:p w14:paraId="5142BC14" w14:textId="77777777"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 xml:space="preserve">Additionally, The ACCME defines a commercial interest as “any entity producing, marketing, re-selling, or distributing health care goods or services consumed by, or used on, patients”. The ACCME does not consider providers of clinical service directly to patients to be commercial interests.  </w:t>
      </w:r>
    </w:p>
    <w:p w14:paraId="08362CD3" w14:textId="77777777" w:rsidR="002760DC" w:rsidRPr="002760DC" w:rsidRDefault="002760DC" w:rsidP="002760DC">
      <w:pPr>
        <w:spacing w:after="0" w:line="240" w:lineRule="auto"/>
        <w:rPr>
          <w:rFonts w:ascii="Times New Roman" w:hAnsi="Times New Roman" w:cs="Times New Roman"/>
        </w:rPr>
      </w:pPr>
    </w:p>
    <w:p w14:paraId="21626129" w14:textId="77777777"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 conflict of interest can be assumed to exist when an individual participating in an activity (and/or the individual’s spouse, partner or family member) is involved financially with a company and/or commercial interest. A financial relationship may exist if the participating individual or spouse/partner/family member:</w:t>
      </w:r>
    </w:p>
    <w:p w14:paraId="563638CF" w14:textId="77777777" w:rsidR="002760DC" w:rsidRPr="002760DC" w:rsidRDefault="002760DC" w:rsidP="002760DC">
      <w:pPr>
        <w:numPr>
          <w:ilvl w:val="0"/>
          <w:numId w:val="1"/>
        </w:numPr>
        <w:tabs>
          <w:tab w:val="clear" w:pos="720"/>
        </w:tabs>
        <w:spacing w:after="0" w:line="240" w:lineRule="auto"/>
        <w:ind w:left="1440"/>
        <w:rPr>
          <w:rFonts w:ascii="Times New Roman" w:hAnsi="Times New Roman" w:cs="Times New Roman"/>
        </w:rPr>
      </w:pPr>
      <w:r w:rsidRPr="002760DC">
        <w:rPr>
          <w:rFonts w:ascii="Times New Roman" w:hAnsi="Times New Roman" w:cs="Times New Roman"/>
        </w:rPr>
        <w:t>Benefits by receiving a salary, royalty, intellectual property rights, consulting fee, honoraria, serves as an officer, consultant, advisory/review committee member, or agent of a company and/or commercial interest;</w:t>
      </w:r>
    </w:p>
    <w:p w14:paraId="792E5202" w14:textId="77777777" w:rsidR="002760DC" w:rsidRPr="002760DC" w:rsidRDefault="002760DC" w:rsidP="002760DC">
      <w:pPr>
        <w:numPr>
          <w:ilvl w:val="0"/>
          <w:numId w:val="1"/>
        </w:numPr>
        <w:tabs>
          <w:tab w:val="clear" w:pos="720"/>
        </w:tabs>
        <w:spacing w:after="0" w:line="240" w:lineRule="auto"/>
        <w:ind w:left="1440"/>
        <w:rPr>
          <w:rFonts w:ascii="Times New Roman" w:hAnsi="Times New Roman" w:cs="Times New Roman"/>
        </w:rPr>
      </w:pPr>
      <w:r w:rsidRPr="002760DC">
        <w:rPr>
          <w:rFonts w:ascii="Times New Roman" w:hAnsi="Times New Roman" w:cs="Times New Roman"/>
        </w:rPr>
        <w:t>Owns stocks, stock options or other ownerships interest in a company and/or commercial interest;</w:t>
      </w:r>
    </w:p>
    <w:p w14:paraId="010D1DC0" w14:textId="77777777" w:rsidR="002760DC" w:rsidRPr="002760DC" w:rsidRDefault="002760DC" w:rsidP="002760DC">
      <w:pPr>
        <w:numPr>
          <w:ilvl w:val="0"/>
          <w:numId w:val="1"/>
        </w:numPr>
        <w:tabs>
          <w:tab w:val="clear" w:pos="720"/>
        </w:tabs>
        <w:spacing w:after="0" w:line="240" w:lineRule="auto"/>
        <w:ind w:left="1440"/>
        <w:rPr>
          <w:rFonts w:ascii="Times New Roman" w:hAnsi="Times New Roman" w:cs="Times New Roman"/>
        </w:rPr>
      </w:pPr>
      <w:r w:rsidRPr="002760DC">
        <w:rPr>
          <w:rFonts w:ascii="Times New Roman" w:hAnsi="Times New Roman" w:cs="Times New Roman"/>
        </w:rPr>
        <w:t>Has received compensation during the prior twelve months or has contracted to receive compensation during the next twelve months from a company and/or commercial interest.</w:t>
      </w:r>
    </w:p>
    <w:p w14:paraId="6F3B0E83" w14:textId="77777777" w:rsidR="002760DC" w:rsidRPr="002760DC" w:rsidRDefault="002760DC" w:rsidP="002760DC">
      <w:pPr>
        <w:numPr>
          <w:ilvl w:val="0"/>
          <w:numId w:val="1"/>
        </w:numPr>
        <w:tabs>
          <w:tab w:val="clear" w:pos="720"/>
        </w:tabs>
        <w:spacing w:after="0" w:line="240" w:lineRule="auto"/>
        <w:ind w:left="1440"/>
        <w:rPr>
          <w:rFonts w:ascii="Times New Roman" w:hAnsi="Times New Roman" w:cs="Times New Roman"/>
        </w:rPr>
      </w:pPr>
      <w:r w:rsidRPr="002760DC">
        <w:rPr>
          <w:rFonts w:ascii="Times New Roman" w:hAnsi="Times New Roman" w:cs="Times New Roman"/>
        </w:rPr>
        <w:lastRenderedPageBreak/>
        <w:t>Excluded from such required disclosures are financial relationships that involve blind trusts and other passive investment vehicles such as mutual funds.</w:t>
      </w:r>
    </w:p>
    <w:p w14:paraId="47A8A789" w14:textId="77777777" w:rsidR="002760DC" w:rsidRPr="002760DC" w:rsidRDefault="002760DC" w:rsidP="002760DC">
      <w:pPr>
        <w:spacing w:after="0" w:line="240" w:lineRule="auto"/>
        <w:rPr>
          <w:rFonts w:ascii="Times New Roman" w:hAnsi="Times New Roman" w:cs="Times New Roman"/>
        </w:rPr>
      </w:pPr>
    </w:p>
    <w:p w14:paraId="2C300006" w14:textId="4BBB7687" w:rsid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expects that each individual will disclose, in the spirit of total transparency:</w:t>
      </w:r>
    </w:p>
    <w:p w14:paraId="71BF03AA" w14:textId="77777777" w:rsidR="002760DC" w:rsidRPr="002760DC" w:rsidRDefault="002760DC" w:rsidP="002760DC">
      <w:pPr>
        <w:spacing w:after="0" w:line="240" w:lineRule="auto"/>
        <w:rPr>
          <w:rFonts w:ascii="Times New Roman" w:hAnsi="Times New Roman" w:cs="Times New Roman"/>
        </w:rPr>
      </w:pPr>
    </w:p>
    <w:p w14:paraId="487DA412" w14:textId="77777777" w:rsidR="002760DC" w:rsidRPr="002760DC" w:rsidRDefault="002760DC" w:rsidP="002760DC">
      <w:pPr>
        <w:spacing w:after="0" w:line="240" w:lineRule="auto"/>
        <w:rPr>
          <w:rFonts w:ascii="Times New Roman" w:hAnsi="Times New Roman" w:cs="Times New Roman"/>
          <w:bCs/>
        </w:rPr>
      </w:pPr>
      <w:r w:rsidRPr="002760DC">
        <w:rPr>
          <w:rFonts w:ascii="Times New Roman" w:hAnsi="Times New Roman" w:cs="Times New Roman"/>
          <w:b/>
          <w:bCs/>
          <w:u w:val="single"/>
        </w:rPr>
        <w:t>For CME Planners and Faculty</w:t>
      </w:r>
    </w:p>
    <w:p w14:paraId="170C21BB" w14:textId="77777777" w:rsidR="002760DC" w:rsidRPr="002760DC" w:rsidRDefault="002760DC" w:rsidP="002760DC">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any/all relevant financial relationships in which he/she is involved AND in which his/her spouse/partner is involved within the past 12 months from the time of reporting.</w:t>
      </w:r>
    </w:p>
    <w:p w14:paraId="4776B895" w14:textId="77777777" w:rsidR="002760DC" w:rsidRPr="002760DC" w:rsidRDefault="002760DC" w:rsidP="002760DC">
      <w:pPr>
        <w:spacing w:after="0" w:line="240" w:lineRule="auto"/>
        <w:rPr>
          <w:rFonts w:ascii="Times New Roman" w:hAnsi="Times New Roman" w:cs="Times New Roman"/>
        </w:rPr>
      </w:pPr>
    </w:p>
    <w:p w14:paraId="30940811" w14:textId="77777777" w:rsidR="002760DC" w:rsidRPr="002760DC" w:rsidRDefault="002760DC" w:rsidP="002760DC">
      <w:pPr>
        <w:spacing w:after="0" w:line="240" w:lineRule="auto"/>
        <w:rPr>
          <w:rFonts w:ascii="Times New Roman" w:hAnsi="Times New Roman" w:cs="Times New Roman"/>
          <w:bCs/>
        </w:rPr>
      </w:pPr>
      <w:r w:rsidRPr="002760DC">
        <w:rPr>
          <w:rFonts w:ascii="Times New Roman" w:hAnsi="Times New Roman" w:cs="Times New Roman"/>
          <w:b/>
          <w:bCs/>
          <w:u w:val="single"/>
        </w:rPr>
        <w:t>For non-CME Planners and non-Faculty</w:t>
      </w:r>
    </w:p>
    <w:p w14:paraId="3A064925" w14:textId="77777777" w:rsidR="002760DC" w:rsidRPr="002760DC" w:rsidRDefault="002760DC" w:rsidP="002760DC">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any/all relationships (direct financial and other interests including non-remunerative positions of influence) in which he/she is involved AND in which his/her spouse/partner is involved within the past 12 months from the time of reporting.</w:t>
      </w:r>
    </w:p>
    <w:p w14:paraId="1E30E989" w14:textId="77777777" w:rsidR="002760DC" w:rsidRPr="002760DC" w:rsidRDefault="002760DC" w:rsidP="002760DC">
      <w:pPr>
        <w:spacing w:after="0" w:line="240" w:lineRule="auto"/>
        <w:rPr>
          <w:rFonts w:ascii="Times New Roman" w:hAnsi="Times New Roman" w:cs="Times New Roman"/>
        </w:rPr>
      </w:pPr>
    </w:p>
    <w:p w14:paraId="557BDF1F" w14:textId="77777777" w:rsidR="002760DC" w:rsidRPr="002760DC" w:rsidRDefault="002760DC" w:rsidP="002760DC">
      <w:pPr>
        <w:spacing w:after="0" w:line="240" w:lineRule="auto"/>
        <w:rPr>
          <w:rFonts w:ascii="Times New Roman" w:hAnsi="Times New Roman" w:cs="Times New Roman"/>
          <w:b/>
          <w:u w:val="single"/>
        </w:rPr>
      </w:pPr>
      <w:r w:rsidRPr="002760DC">
        <w:rPr>
          <w:rFonts w:ascii="Times New Roman" w:hAnsi="Times New Roman" w:cs="Times New Roman"/>
          <w:b/>
          <w:u w:val="single"/>
        </w:rPr>
        <w:t>For Members of the Academy’s Board of Governors</w:t>
      </w:r>
    </w:p>
    <w:p w14:paraId="0C2B8480" w14:textId="77777777" w:rsidR="002760DC" w:rsidRPr="002760DC" w:rsidRDefault="002760DC" w:rsidP="002760DC">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any/all relationships (direct financial and other interests including non-remunerative positions of influence) in which he/she is involved AND in which his/her family is involved within the past 12 months from the time of reporting.</w:t>
      </w:r>
    </w:p>
    <w:p w14:paraId="7C86ECFA" w14:textId="77777777" w:rsidR="002760DC" w:rsidRPr="002760DC" w:rsidRDefault="002760DC" w:rsidP="002760DC">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Only members of the Board of Governors are required to disclose financial ranges. Disclosure forms will include the following ranges: $1-$2,000, $2,001-$15,000, $15,001-$25,000, and $25,001+</w:t>
      </w:r>
    </w:p>
    <w:p w14:paraId="5F3E21CA" w14:textId="77777777" w:rsidR="002760DC" w:rsidRPr="002760DC" w:rsidRDefault="002760DC" w:rsidP="002760DC">
      <w:pPr>
        <w:pStyle w:val="ListParagraph"/>
        <w:numPr>
          <w:ilvl w:val="0"/>
          <w:numId w:val="6"/>
        </w:numPr>
        <w:spacing w:after="0" w:line="240" w:lineRule="auto"/>
        <w:contextualSpacing w:val="0"/>
        <w:rPr>
          <w:rFonts w:ascii="Times New Roman" w:hAnsi="Times New Roman" w:cs="Times New Roman"/>
        </w:rPr>
      </w:pPr>
      <w:r w:rsidRPr="002760DC">
        <w:rPr>
          <w:rFonts w:ascii="Times New Roman" w:hAnsi="Times New Roman" w:cs="Times New Roman"/>
        </w:rPr>
        <w:t>AAPM&amp;R President, Vice President, Past President, President-Elect, Executive Director and Editor-in-Chief of the PM&amp;R Journal may not have any financial conflicts with companies or commercial interests.</w:t>
      </w:r>
    </w:p>
    <w:p w14:paraId="6DA31CAB" w14:textId="77777777" w:rsidR="002760DC" w:rsidRPr="002760DC" w:rsidRDefault="002760DC" w:rsidP="002760DC">
      <w:pPr>
        <w:spacing w:after="0" w:line="240" w:lineRule="auto"/>
        <w:rPr>
          <w:rFonts w:ascii="Times New Roman" w:hAnsi="Times New Roman" w:cs="Times New Roman"/>
        </w:rPr>
      </w:pPr>
    </w:p>
    <w:p w14:paraId="258FC79B" w14:textId="77777777"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Any conflicts of interest will be resolved prior to the start of the activity following the steps outline in this policy:</w:t>
      </w:r>
    </w:p>
    <w:p w14:paraId="17E945F9" w14:textId="77777777" w:rsidR="002760DC" w:rsidRPr="002760DC" w:rsidRDefault="002760DC" w:rsidP="002760DC">
      <w:pPr>
        <w:spacing w:after="0" w:line="240" w:lineRule="auto"/>
        <w:rPr>
          <w:rFonts w:ascii="Times New Roman" w:hAnsi="Times New Roman" w:cs="Times New Roman"/>
        </w:rPr>
      </w:pPr>
    </w:p>
    <w:p w14:paraId="6B2E31ED" w14:textId="77777777" w:rsidR="002760DC" w:rsidRP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All members of the Board of Governors, committee volunteers, speakers, planners, etc., regardless of position, must submit and update disclosure information at least annually, or prior to each committee or planning meeting or speaking engagement.</w:t>
      </w:r>
    </w:p>
    <w:p w14:paraId="663E5472" w14:textId="77777777" w:rsidR="002760DC" w:rsidRPr="002760DC" w:rsidRDefault="002760DC" w:rsidP="002760DC">
      <w:pPr>
        <w:spacing w:after="0" w:line="240" w:lineRule="auto"/>
        <w:ind w:left="360"/>
        <w:rPr>
          <w:rFonts w:ascii="Times New Roman" w:hAnsi="Times New Roman" w:cs="Times New Roman"/>
        </w:rPr>
      </w:pPr>
    </w:p>
    <w:p w14:paraId="003A834B" w14:textId="77777777" w:rsidR="002760DC" w:rsidRP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Completed disclosure forms must be received in ample time to be reviewed and discussed by the appropriate monitoring group, i.e. AAPM&amp;R’s Program Planning Committee, Conflict Advisory Committee, CME Committee. </w:t>
      </w:r>
    </w:p>
    <w:p w14:paraId="5FCB7A9C" w14:textId="77777777" w:rsidR="002760DC" w:rsidRPr="002760DC" w:rsidRDefault="002760DC" w:rsidP="002760DC">
      <w:pPr>
        <w:spacing w:after="0" w:line="240" w:lineRule="auto"/>
        <w:rPr>
          <w:rFonts w:ascii="Times New Roman" w:hAnsi="Times New Roman" w:cs="Times New Roman"/>
        </w:rPr>
      </w:pPr>
    </w:p>
    <w:p w14:paraId="1C2B8C84" w14:textId="77777777" w:rsidR="002760DC" w:rsidRP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Individuals who fail or refuse to disclose their financial relationship(s) will be prohibited from participation in their assigned role.  </w:t>
      </w:r>
    </w:p>
    <w:p w14:paraId="4DBA5DA6" w14:textId="77777777" w:rsidR="002760DC" w:rsidRPr="002760DC" w:rsidRDefault="002760DC" w:rsidP="002760DC">
      <w:pPr>
        <w:spacing w:after="0" w:line="240" w:lineRule="auto"/>
        <w:ind w:left="360"/>
        <w:rPr>
          <w:rFonts w:ascii="Times New Roman" w:hAnsi="Times New Roman" w:cs="Times New Roman"/>
        </w:rPr>
      </w:pPr>
    </w:p>
    <w:p w14:paraId="01A77DE7" w14:textId="77777777" w:rsidR="002760DC" w:rsidRP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If resolution of COI is deemed necessary, AAPM&amp;R may implement one of several strategies that will safeguard against any potential biases. A strategy may affect the individual’s role assignment and/or require external validation. The following are mechanisms to resolve potential conflicts of interest:</w:t>
      </w:r>
    </w:p>
    <w:p w14:paraId="1195BD2B" w14:textId="77777777" w:rsidR="002760DC" w:rsidRPr="002760DC" w:rsidRDefault="002760DC" w:rsidP="002760DC">
      <w:pPr>
        <w:numPr>
          <w:ilvl w:val="1"/>
          <w:numId w:val="2"/>
        </w:numPr>
        <w:spacing w:after="0" w:line="240" w:lineRule="auto"/>
        <w:rPr>
          <w:rFonts w:ascii="Times New Roman" w:hAnsi="Times New Roman" w:cs="Times New Roman"/>
        </w:rPr>
      </w:pPr>
      <w:r w:rsidRPr="002760DC">
        <w:rPr>
          <w:rFonts w:ascii="Times New Roman" w:hAnsi="Times New Roman" w:cs="Times New Roman"/>
        </w:rPr>
        <w:t>Select another individual to control the content in question – if an individual assigned to a topic has a conflict of interest, this topic can be assigned to someone else without a conflict.</w:t>
      </w:r>
    </w:p>
    <w:p w14:paraId="3886E195" w14:textId="77777777" w:rsidR="002760DC" w:rsidRPr="002760DC" w:rsidRDefault="002760DC" w:rsidP="002760DC">
      <w:pPr>
        <w:numPr>
          <w:ilvl w:val="1"/>
          <w:numId w:val="2"/>
        </w:numPr>
        <w:spacing w:after="0" w:line="240" w:lineRule="auto"/>
        <w:rPr>
          <w:rFonts w:ascii="Times New Roman" w:hAnsi="Times New Roman" w:cs="Times New Roman"/>
        </w:rPr>
      </w:pPr>
      <w:r w:rsidRPr="002760DC">
        <w:rPr>
          <w:rFonts w:ascii="Times New Roman" w:hAnsi="Times New Roman" w:cs="Times New Roman"/>
        </w:rPr>
        <w:t>Limit the content in question to exclude recommendations – if an individual assigned to a topic has a conflict of interest, the topic content can include only published research and not recommendations or conclusions.</w:t>
      </w:r>
    </w:p>
    <w:p w14:paraId="2988D0A2" w14:textId="77777777" w:rsidR="002760DC" w:rsidRPr="002760DC" w:rsidRDefault="002760DC" w:rsidP="002760DC">
      <w:pPr>
        <w:numPr>
          <w:ilvl w:val="1"/>
          <w:numId w:val="2"/>
        </w:numPr>
        <w:spacing w:after="0" w:line="240" w:lineRule="auto"/>
        <w:rPr>
          <w:rFonts w:ascii="Times New Roman" w:hAnsi="Times New Roman" w:cs="Times New Roman"/>
        </w:rPr>
      </w:pPr>
      <w:r w:rsidRPr="002760DC">
        <w:rPr>
          <w:rFonts w:ascii="Times New Roman" w:hAnsi="Times New Roman" w:cs="Times New Roman"/>
        </w:rPr>
        <w:t>Peer review process – individuals assigned to review the content of an activity can resolve conflicts of interest by making certain that the content is aligned with what is in the best interests of the public.</w:t>
      </w:r>
    </w:p>
    <w:p w14:paraId="00B89B31" w14:textId="77777777" w:rsidR="002760DC" w:rsidRPr="002760DC" w:rsidRDefault="002760DC" w:rsidP="002760DC">
      <w:pPr>
        <w:numPr>
          <w:ilvl w:val="1"/>
          <w:numId w:val="2"/>
        </w:numPr>
        <w:spacing w:after="0" w:line="240" w:lineRule="auto"/>
        <w:rPr>
          <w:rFonts w:ascii="Times New Roman" w:hAnsi="Times New Roman" w:cs="Times New Roman"/>
        </w:rPr>
      </w:pPr>
      <w:r w:rsidRPr="002760DC">
        <w:rPr>
          <w:rFonts w:ascii="Times New Roman" w:hAnsi="Times New Roman" w:cs="Times New Roman"/>
        </w:rPr>
        <w:t>Reference the best available evidence – the content of the activity can reference the best available evidence and identify conclusions that support this evidence.</w:t>
      </w:r>
    </w:p>
    <w:p w14:paraId="45264D17" w14:textId="77777777" w:rsidR="002760DC" w:rsidRPr="002760DC" w:rsidRDefault="002760DC" w:rsidP="002760DC">
      <w:pPr>
        <w:numPr>
          <w:ilvl w:val="1"/>
          <w:numId w:val="2"/>
        </w:numPr>
        <w:spacing w:after="0" w:line="240" w:lineRule="auto"/>
        <w:rPr>
          <w:rFonts w:ascii="Times New Roman" w:hAnsi="Times New Roman" w:cs="Times New Roman"/>
        </w:rPr>
      </w:pPr>
      <w:r w:rsidRPr="002760DC">
        <w:rPr>
          <w:rFonts w:ascii="Times New Roman" w:hAnsi="Times New Roman" w:cs="Times New Roman"/>
        </w:rPr>
        <w:t>Recusing one’s self from conversation as it relates to developing educational content or strategic planning.</w:t>
      </w:r>
    </w:p>
    <w:p w14:paraId="69683E3A" w14:textId="77777777" w:rsidR="002760DC" w:rsidRPr="002760DC" w:rsidRDefault="002760DC" w:rsidP="002760DC">
      <w:pPr>
        <w:numPr>
          <w:ilvl w:val="1"/>
          <w:numId w:val="2"/>
        </w:numPr>
        <w:spacing w:after="0" w:line="240" w:lineRule="auto"/>
        <w:rPr>
          <w:rFonts w:ascii="Times New Roman" w:hAnsi="Times New Roman" w:cs="Times New Roman"/>
        </w:rPr>
      </w:pPr>
      <w:r w:rsidRPr="002760DC">
        <w:rPr>
          <w:rFonts w:ascii="Times New Roman" w:hAnsi="Times New Roman" w:cs="Times New Roman"/>
        </w:rPr>
        <w:t>Alter financial relationships – sever financial ties with a company or commercial interest eliminating an incentive to include bias in the CME content and/or strategic discussions.</w:t>
      </w:r>
    </w:p>
    <w:p w14:paraId="5F281853" w14:textId="77777777" w:rsidR="002760DC" w:rsidRPr="002760DC" w:rsidRDefault="002760DC" w:rsidP="002760DC">
      <w:pPr>
        <w:spacing w:after="0" w:line="240" w:lineRule="auto"/>
        <w:ind w:left="360"/>
        <w:rPr>
          <w:rFonts w:ascii="Times New Roman" w:hAnsi="Times New Roman" w:cs="Times New Roman"/>
        </w:rPr>
      </w:pPr>
    </w:p>
    <w:p w14:paraId="203A1F84" w14:textId="0769B058" w:rsid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To avoid any potential conflicts of interest during an activity, each individual will be required to present an evidence –based, scientific-only, unbiased presentation/point of view. Any recommendations included in the presentation/point </w:t>
      </w:r>
      <w:r w:rsidRPr="002760DC">
        <w:rPr>
          <w:rFonts w:ascii="Times New Roman" w:hAnsi="Times New Roman" w:cs="Times New Roman"/>
        </w:rPr>
        <w:lastRenderedPageBreak/>
        <w:t>of view must be based on evidence that is accepted within the profession of medicine as adequate justification for indication and contraindications in the care of patients.</w:t>
      </w:r>
    </w:p>
    <w:p w14:paraId="7C9EC402" w14:textId="77777777" w:rsidR="002760DC" w:rsidRPr="002760DC" w:rsidRDefault="002760DC" w:rsidP="002760DC">
      <w:pPr>
        <w:spacing w:after="0" w:line="240" w:lineRule="auto"/>
        <w:ind w:left="360"/>
        <w:rPr>
          <w:rFonts w:ascii="Times New Roman" w:hAnsi="Times New Roman" w:cs="Times New Roman"/>
        </w:rPr>
      </w:pPr>
    </w:p>
    <w:p w14:paraId="21B99C3A" w14:textId="71D268B9" w:rsid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AAPM&amp;R will post the Academy’s conflict of interest policies on the AAPM&amp;R Web site making them available to the members and the public. </w:t>
      </w:r>
    </w:p>
    <w:p w14:paraId="300885E8" w14:textId="77777777" w:rsidR="002760DC" w:rsidRPr="002760DC" w:rsidRDefault="002760DC" w:rsidP="002760DC">
      <w:pPr>
        <w:spacing w:after="0" w:line="240" w:lineRule="auto"/>
        <w:ind w:left="360"/>
        <w:rPr>
          <w:rFonts w:ascii="Times New Roman" w:hAnsi="Times New Roman" w:cs="Times New Roman"/>
        </w:rPr>
      </w:pPr>
    </w:p>
    <w:p w14:paraId="08CB7853" w14:textId="5205E322" w:rsid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Upon written request, AAPM&amp;R will disclose all financial and uncompensated relationships that members of the Board of Governors have with companies and/or commercial interests, making this information available to members and the public.</w:t>
      </w:r>
    </w:p>
    <w:p w14:paraId="46E75EA0" w14:textId="77777777" w:rsidR="002760DC" w:rsidRPr="002760DC" w:rsidRDefault="002760DC" w:rsidP="002760DC">
      <w:pPr>
        <w:spacing w:after="0" w:line="240" w:lineRule="auto"/>
        <w:ind w:left="360"/>
        <w:rPr>
          <w:rFonts w:ascii="Times New Roman" w:hAnsi="Times New Roman" w:cs="Times New Roman"/>
        </w:rPr>
      </w:pPr>
    </w:p>
    <w:p w14:paraId="554DA71C" w14:textId="352600B5" w:rsid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Requests for disclosure information must be made in writing to Academy Headquarters; requests will be reviewed by the Academy president or secretary. Disclosures to members will include the dollar ranges indicated on the disclosure form. Non-members will only receive information about the disclosed relationship, without dollar ranges. </w:t>
      </w:r>
    </w:p>
    <w:p w14:paraId="0DF5FEC4" w14:textId="77777777" w:rsidR="002760DC" w:rsidRPr="002760DC" w:rsidRDefault="002760DC" w:rsidP="002760DC">
      <w:pPr>
        <w:spacing w:after="0" w:line="240" w:lineRule="auto"/>
        <w:ind w:left="360"/>
        <w:rPr>
          <w:rFonts w:ascii="Times New Roman" w:hAnsi="Times New Roman" w:cs="Times New Roman"/>
        </w:rPr>
      </w:pPr>
    </w:p>
    <w:p w14:paraId="5EE24FE1" w14:textId="313B64F8" w:rsid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 xml:space="preserve">Prior to the start of any activity, including Board and Committee Meetings, all financial relationships will be provided to all participants. For an individual with no financial relationships, the participants will be informed that no financial relationships exist.  </w:t>
      </w:r>
    </w:p>
    <w:p w14:paraId="4E9D47AC" w14:textId="77777777" w:rsidR="002760DC" w:rsidRPr="002760DC" w:rsidRDefault="002760DC" w:rsidP="002760DC">
      <w:pPr>
        <w:spacing w:after="0" w:line="240" w:lineRule="auto"/>
        <w:ind w:left="360"/>
        <w:rPr>
          <w:rFonts w:ascii="Times New Roman" w:hAnsi="Times New Roman" w:cs="Times New Roman"/>
        </w:rPr>
      </w:pPr>
    </w:p>
    <w:p w14:paraId="6D4E28A1" w14:textId="77777777" w:rsidR="002760DC" w:rsidRPr="002760DC" w:rsidRDefault="002760DC" w:rsidP="002760DC">
      <w:pPr>
        <w:numPr>
          <w:ilvl w:val="0"/>
          <w:numId w:val="2"/>
        </w:numPr>
        <w:tabs>
          <w:tab w:val="clear" w:pos="720"/>
        </w:tabs>
        <w:spacing w:after="0" w:line="240" w:lineRule="auto"/>
        <w:ind w:left="360"/>
        <w:rPr>
          <w:rFonts w:ascii="Times New Roman" w:hAnsi="Times New Roman" w:cs="Times New Roman"/>
        </w:rPr>
      </w:pPr>
      <w:r w:rsidRPr="002760DC">
        <w:rPr>
          <w:rFonts w:ascii="Times New Roman" w:hAnsi="Times New Roman" w:cs="Times New Roman"/>
        </w:rPr>
        <w:t>The activity will be monitored for adherence to requirements (staff/expert review). A mechanism will be provided for participants to evaluate commercial bias. The evaluation data for each planner/teacher/author will be analyzed and used for making decisions about including individual planners/teachers/authors in future activities.</w:t>
      </w:r>
    </w:p>
    <w:p w14:paraId="37E94EAA" w14:textId="77777777" w:rsidR="002760DC" w:rsidRPr="002760DC" w:rsidRDefault="002760DC" w:rsidP="002760DC">
      <w:pPr>
        <w:spacing w:after="0" w:line="240" w:lineRule="auto"/>
        <w:rPr>
          <w:rFonts w:ascii="Times New Roman" w:hAnsi="Times New Roman" w:cs="Times New Roman"/>
          <w:b/>
        </w:rPr>
      </w:pPr>
    </w:p>
    <w:p w14:paraId="0C7BA40E" w14:textId="47FC7CCE" w:rsidR="002760DC" w:rsidRDefault="002760DC" w:rsidP="002760DC">
      <w:pPr>
        <w:spacing w:after="0" w:line="240" w:lineRule="auto"/>
        <w:rPr>
          <w:rFonts w:ascii="Times New Roman" w:hAnsi="Times New Roman" w:cs="Times New Roman"/>
          <w:b/>
        </w:rPr>
      </w:pPr>
      <w:r w:rsidRPr="002760DC">
        <w:rPr>
          <w:rFonts w:ascii="Times New Roman" w:hAnsi="Times New Roman" w:cs="Times New Roman"/>
          <w:b/>
        </w:rPr>
        <w:t>Definitions:</w:t>
      </w:r>
    </w:p>
    <w:p w14:paraId="3C4CC1FA" w14:textId="77777777" w:rsidR="002760DC" w:rsidRPr="002760DC" w:rsidRDefault="002760DC" w:rsidP="002760DC">
      <w:pPr>
        <w:spacing w:after="0" w:line="240" w:lineRule="auto"/>
        <w:rPr>
          <w:rFonts w:ascii="Times New Roman" w:hAnsi="Times New Roman" w:cs="Times New Roman"/>
          <w:b/>
        </w:rPr>
      </w:pPr>
      <w:bookmarkStart w:id="0" w:name="_GoBack"/>
      <w:bookmarkEnd w:id="0"/>
    </w:p>
    <w:p w14:paraId="7E516DD2" w14:textId="1723D9F0" w:rsid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defines a "Direct Financial Relationship" as a relationship held by an individual that results in wages, consulting fees, honoraria, or other compensation (in cash, in stock or stock option or in kind), whether paid to the individual or to another entity at the direction of the individual, for the individual's service or expertise. The term "Direct Financial Relationship" does not mean stock ownership or intellectual property licensing arrangements and is for relationships from the past 12 months.</w:t>
      </w:r>
    </w:p>
    <w:p w14:paraId="556C9025" w14:textId="77777777" w:rsidR="002760DC" w:rsidRPr="002760DC" w:rsidRDefault="002760DC" w:rsidP="002760DC">
      <w:pPr>
        <w:spacing w:after="0" w:line="240" w:lineRule="auto"/>
        <w:rPr>
          <w:rFonts w:ascii="Times New Roman" w:hAnsi="Times New Roman" w:cs="Times New Roman"/>
        </w:rPr>
      </w:pPr>
    </w:p>
    <w:p w14:paraId="3222E4A9" w14:textId="77777777"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defines “Family member” as a spouse, domestic partner, parent, mother-in-law, father-in-law, child, spouse of child, grandchild, brother, sister, or spouse or child of a brother or sister. Guidelines relating to interests held by an immediate family member or extended family member shall apply to the extent such interests are known to the Trustee, Member or Senior Manager.</w:t>
      </w:r>
    </w:p>
    <w:p w14:paraId="7FAAF22B" w14:textId="77777777" w:rsidR="002760DC" w:rsidRPr="002760DC" w:rsidRDefault="002760DC" w:rsidP="002760DC">
      <w:pPr>
        <w:spacing w:after="0" w:line="240" w:lineRule="auto"/>
        <w:rPr>
          <w:rFonts w:ascii="Times New Roman" w:hAnsi="Times New Roman" w:cs="Times New Roman"/>
        </w:rPr>
      </w:pPr>
    </w:p>
    <w:p w14:paraId="5C196676" w14:textId="77777777" w:rsidR="002760DC" w:rsidRPr="002760DC" w:rsidRDefault="002760DC" w:rsidP="002760DC">
      <w:pPr>
        <w:spacing w:after="0" w:line="240" w:lineRule="auto"/>
        <w:rPr>
          <w:rFonts w:ascii="Times New Roman" w:hAnsi="Times New Roman" w:cs="Times New Roman"/>
        </w:rPr>
      </w:pPr>
      <w:r w:rsidRPr="002760DC">
        <w:rPr>
          <w:rFonts w:ascii="Times New Roman" w:hAnsi="Times New Roman" w:cs="Times New Roman"/>
        </w:rPr>
        <w:t>AAPM&amp;R defines “Non-remunerative positions of influence” as unpaid/non-salaried roles such as officer, board member, trustee, spokesperson, consultant, advisor, reviewer, editor, or any such similar position.</w:t>
      </w:r>
    </w:p>
    <w:p w14:paraId="3CBA7C8F" w14:textId="77777777" w:rsidR="00AF158B" w:rsidRPr="002760DC" w:rsidRDefault="00AF158B" w:rsidP="002760DC">
      <w:pPr>
        <w:spacing w:after="0" w:line="240" w:lineRule="auto"/>
        <w:jc w:val="right"/>
        <w:rPr>
          <w:rFonts w:ascii="Times New Roman" w:hAnsi="Times New Roman" w:cs="Times New Roman"/>
          <w:i/>
        </w:rPr>
      </w:pPr>
    </w:p>
    <w:p w14:paraId="4D7D050C" w14:textId="65DBCFA9" w:rsidR="00AF158B" w:rsidRPr="002760DC" w:rsidRDefault="00AF158B" w:rsidP="002760DC">
      <w:pPr>
        <w:spacing w:after="0" w:line="240" w:lineRule="auto"/>
        <w:jc w:val="right"/>
        <w:rPr>
          <w:rFonts w:ascii="Times New Roman" w:hAnsi="Times New Roman" w:cs="Times New Roman"/>
          <w:i/>
        </w:rPr>
      </w:pPr>
      <w:r w:rsidRPr="002760DC">
        <w:rPr>
          <w:rFonts w:ascii="Times New Roman" w:hAnsi="Times New Roman" w:cs="Times New Roman"/>
          <w:i/>
        </w:rPr>
        <w:t>Reviewed January 2017 by CME Committee</w:t>
      </w:r>
    </w:p>
    <w:p w14:paraId="503778EC" w14:textId="77777777" w:rsidR="00AF158B" w:rsidRPr="002760DC" w:rsidRDefault="00AF158B" w:rsidP="002760DC">
      <w:pPr>
        <w:spacing w:after="0" w:line="240" w:lineRule="auto"/>
        <w:jc w:val="right"/>
        <w:rPr>
          <w:rFonts w:ascii="Times New Roman" w:hAnsi="Times New Roman" w:cs="Times New Roman"/>
          <w:i/>
        </w:rPr>
      </w:pPr>
      <w:r w:rsidRPr="002760DC">
        <w:rPr>
          <w:rFonts w:ascii="Times New Roman" w:hAnsi="Times New Roman" w:cs="Times New Roman"/>
          <w:i/>
        </w:rPr>
        <w:t>Approved February 2017 by Board of Governors</w:t>
      </w:r>
    </w:p>
    <w:p w14:paraId="64DB55F2" w14:textId="77777777" w:rsidR="00AF158B" w:rsidRPr="002760DC" w:rsidRDefault="00AF158B" w:rsidP="002760DC">
      <w:pPr>
        <w:spacing w:after="0" w:line="240" w:lineRule="auto"/>
        <w:rPr>
          <w:rFonts w:ascii="Times New Roman" w:hAnsi="Times New Roman" w:cs="Times New Roman"/>
        </w:rPr>
      </w:pPr>
    </w:p>
    <w:sectPr w:rsidR="00AF158B" w:rsidRPr="002760DC" w:rsidSect="00AF158B">
      <w:pgSz w:w="12240" w:h="15840"/>
      <w:pgMar w:top="1008" w:right="720" w:bottom="100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Century Gothic"/>
    <w:charset w:val="00"/>
    <w:family w:val="swiss"/>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641B"/>
    <w:multiLevelType w:val="hybridMultilevel"/>
    <w:tmpl w:val="52CA5E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7520B2"/>
    <w:multiLevelType w:val="hybridMultilevel"/>
    <w:tmpl w:val="0FDEF350"/>
    <w:lvl w:ilvl="0" w:tplc="04090017">
      <w:start w:val="1"/>
      <w:numFmt w:val="lowerLetter"/>
      <w:lvlText w:val="%1)"/>
      <w:lvlJc w:val="left"/>
      <w:pPr>
        <w:tabs>
          <w:tab w:val="num" w:pos="720"/>
        </w:tabs>
        <w:ind w:left="720" w:hanging="360"/>
      </w:pPr>
      <w:rPr>
        <w:rFonts w:hint="default"/>
      </w:rPr>
    </w:lvl>
    <w:lvl w:ilvl="1" w:tplc="F3B290F6">
      <w:start w:val="1"/>
      <w:numFmt w:val="lowerLetter"/>
      <w:lvlText w:val="%2)"/>
      <w:lvlJc w:val="left"/>
      <w:pPr>
        <w:tabs>
          <w:tab w:val="num" w:pos="1440"/>
        </w:tabs>
        <w:ind w:left="1440" w:hanging="360"/>
      </w:pPr>
      <w:rPr>
        <w:rFonts w:asciiTheme="minorHAnsi" w:eastAsiaTheme="minorHAnsi" w:hAnsiTheme="minorHAnsi" w:cstheme="minorBid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BC4073C"/>
    <w:multiLevelType w:val="hybridMultilevel"/>
    <w:tmpl w:val="697C43AA"/>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3" w15:restartNumberingAfterBreak="0">
    <w:nsid w:val="3C3F0BB5"/>
    <w:multiLevelType w:val="hybridMultilevel"/>
    <w:tmpl w:val="EDF67D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560E9A"/>
    <w:multiLevelType w:val="hybridMultilevel"/>
    <w:tmpl w:val="DABAAF9A"/>
    <w:lvl w:ilvl="0" w:tplc="473AF69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78A355A8"/>
    <w:multiLevelType w:val="hybridMultilevel"/>
    <w:tmpl w:val="912CA718"/>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5"/>
  </w:num>
  <w:num w:numId="3">
    <w:abstractNumId w:val="2"/>
  </w:num>
  <w:num w:numId="4">
    <w:abstractNumId w:val="4"/>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5ADC"/>
    <w:rsid w:val="00096CA6"/>
    <w:rsid w:val="00191612"/>
    <w:rsid w:val="002760DC"/>
    <w:rsid w:val="003A4317"/>
    <w:rsid w:val="003B0227"/>
    <w:rsid w:val="003F42A9"/>
    <w:rsid w:val="00456CAB"/>
    <w:rsid w:val="005061E4"/>
    <w:rsid w:val="00521043"/>
    <w:rsid w:val="00534831"/>
    <w:rsid w:val="00562E28"/>
    <w:rsid w:val="005938FD"/>
    <w:rsid w:val="005D55D9"/>
    <w:rsid w:val="00605ADC"/>
    <w:rsid w:val="006F6BC9"/>
    <w:rsid w:val="00714601"/>
    <w:rsid w:val="007A6CE2"/>
    <w:rsid w:val="00857B5E"/>
    <w:rsid w:val="008B0631"/>
    <w:rsid w:val="00A64852"/>
    <w:rsid w:val="00AF158B"/>
    <w:rsid w:val="00B040B4"/>
    <w:rsid w:val="00B60BA0"/>
    <w:rsid w:val="00BF3A1D"/>
    <w:rsid w:val="00C31445"/>
    <w:rsid w:val="00C46651"/>
    <w:rsid w:val="00D63055"/>
    <w:rsid w:val="00E73CA8"/>
    <w:rsid w:val="00ED235F"/>
    <w:rsid w:val="00F90DE9"/>
    <w:rsid w:val="00FD0A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41C3A"/>
  <w15:chartTrackingRefBased/>
  <w15:docId w15:val="{8EDCE2B3-F3C0-49F1-8DC8-F396C2B130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05ADC"/>
    <w:pPr>
      <w:tabs>
        <w:tab w:val="center" w:pos="4320"/>
        <w:tab w:val="right" w:pos="8640"/>
      </w:tabs>
      <w:spacing w:after="0" w:line="240" w:lineRule="auto"/>
    </w:pPr>
    <w:rPr>
      <w:rFonts w:ascii="CG Omega" w:eastAsia="Times New Roman" w:hAnsi="CG Omega" w:cs="Times New Roman"/>
      <w:szCs w:val="24"/>
    </w:rPr>
  </w:style>
  <w:style w:type="character" w:customStyle="1" w:styleId="HeaderChar">
    <w:name w:val="Header Char"/>
    <w:basedOn w:val="DefaultParagraphFont"/>
    <w:link w:val="Header"/>
    <w:rsid w:val="00605ADC"/>
    <w:rPr>
      <w:rFonts w:ascii="CG Omega" w:eastAsia="Times New Roman" w:hAnsi="CG Omega" w:cs="Times New Roman"/>
      <w:szCs w:val="24"/>
    </w:rPr>
  </w:style>
  <w:style w:type="paragraph" w:styleId="ListParagraph">
    <w:name w:val="List Paragraph"/>
    <w:basedOn w:val="Normal"/>
    <w:uiPriority w:val="34"/>
    <w:qFormat/>
    <w:rsid w:val="00F90DE9"/>
    <w:pPr>
      <w:ind w:left="720"/>
      <w:contextualSpacing/>
    </w:pPr>
  </w:style>
  <w:style w:type="character" w:styleId="CommentReference">
    <w:name w:val="annotation reference"/>
    <w:basedOn w:val="DefaultParagraphFont"/>
    <w:uiPriority w:val="99"/>
    <w:semiHidden/>
    <w:unhideWhenUsed/>
    <w:rsid w:val="00534831"/>
    <w:rPr>
      <w:sz w:val="16"/>
      <w:szCs w:val="16"/>
    </w:rPr>
  </w:style>
  <w:style w:type="paragraph" w:styleId="CommentText">
    <w:name w:val="annotation text"/>
    <w:basedOn w:val="Normal"/>
    <w:link w:val="CommentTextChar"/>
    <w:uiPriority w:val="99"/>
    <w:semiHidden/>
    <w:unhideWhenUsed/>
    <w:rsid w:val="00534831"/>
    <w:pPr>
      <w:spacing w:line="240" w:lineRule="auto"/>
    </w:pPr>
    <w:rPr>
      <w:sz w:val="20"/>
      <w:szCs w:val="20"/>
    </w:rPr>
  </w:style>
  <w:style w:type="character" w:customStyle="1" w:styleId="CommentTextChar">
    <w:name w:val="Comment Text Char"/>
    <w:basedOn w:val="DefaultParagraphFont"/>
    <w:link w:val="CommentText"/>
    <w:uiPriority w:val="99"/>
    <w:semiHidden/>
    <w:rsid w:val="00534831"/>
    <w:rPr>
      <w:sz w:val="20"/>
      <w:szCs w:val="20"/>
    </w:rPr>
  </w:style>
  <w:style w:type="paragraph" w:styleId="CommentSubject">
    <w:name w:val="annotation subject"/>
    <w:basedOn w:val="CommentText"/>
    <w:next w:val="CommentText"/>
    <w:link w:val="CommentSubjectChar"/>
    <w:uiPriority w:val="99"/>
    <w:semiHidden/>
    <w:unhideWhenUsed/>
    <w:rsid w:val="00534831"/>
    <w:rPr>
      <w:b/>
      <w:bCs/>
    </w:rPr>
  </w:style>
  <w:style w:type="character" w:customStyle="1" w:styleId="CommentSubjectChar">
    <w:name w:val="Comment Subject Char"/>
    <w:basedOn w:val="CommentTextChar"/>
    <w:link w:val="CommentSubject"/>
    <w:uiPriority w:val="99"/>
    <w:semiHidden/>
    <w:rsid w:val="00534831"/>
    <w:rPr>
      <w:b/>
      <w:bCs/>
      <w:sz w:val="20"/>
      <w:szCs w:val="20"/>
    </w:rPr>
  </w:style>
  <w:style w:type="paragraph" w:styleId="BalloonText">
    <w:name w:val="Balloon Text"/>
    <w:basedOn w:val="Normal"/>
    <w:link w:val="BalloonTextChar"/>
    <w:uiPriority w:val="99"/>
    <w:semiHidden/>
    <w:unhideWhenUsed/>
    <w:rsid w:val="0053483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483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261</TotalTime>
  <Pages>3</Pages>
  <Words>1554</Words>
  <Characters>8863</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Brian Thompson</dc:creator>
  <cp:keywords/>
  <dc:description/>
  <cp:lastModifiedBy>Brian Thompson</cp:lastModifiedBy>
  <cp:revision>14</cp:revision>
  <dcterms:created xsi:type="dcterms:W3CDTF">2016-12-22T21:36:00Z</dcterms:created>
  <dcterms:modified xsi:type="dcterms:W3CDTF">2017-02-28T19:27:00Z</dcterms:modified>
</cp:coreProperties>
</file>