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660C0" w14:textId="518CD9CD" w:rsidR="004A0A4F" w:rsidRDefault="004A0A4F" w:rsidP="004A0A4F">
      <w:pPr>
        <w:jc w:val="center"/>
        <w:rPr>
          <w:b/>
          <w:bCs/>
          <w:sz w:val="22"/>
          <w:szCs w:val="22"/>
        </w:rPr>
      </w:pPr>
      <w:r w:rsidRPr="002760DC">
        <w:rPr>
          <w:noProof/>
          <w:szCs w:val="22"/>
        </w:rPr>
        <w:drawing>
          <wp:anchor distT="0" distB="0" distL="114300" distR="114300" simplePos="0" relativeHeight="251658240" behindDoc="1" locked="0" layoutInCell="1" allowOverlap="1" wp14:anchorId="340F7007" wp14:editId="7928F846">
            <wp:simplePos x="0" y="0"/>
            <wp:positionH relativeFrom="margin">
              <wp:align>center</wp:align>
            </wp:positionH>
            <wp:positionV relativeFrom="paragraph">
              <wp:posOffset>-448945</wp:posOffset>
            </wp:positionV>
            <wp:extent cx="2514600" cy="647700"/>
            <wp:effectExtent l="0" t="0" r="0" b="0"/>
            <wp:wrapNone/>
            <wp:docPr id="1" name="Picture 1" descr="PM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00D45" w14:textId="77777777" w:rsidR="004A0A4F" w:rsidRDefault="004A0A4F" w:rsidP="004A0A4F">
      <w:pPr>
        <w:jc w:val="center"/>
        <w:rPr>
          <w:b/>
          <w:bCs/>
          <w:sz w:val="22"/>
          <w:szCs w:val="22"/>
        </w:rPr>
      </w:pPr>
    </w:p>
    <w:p w14:paraId="5FAF503F" w14:textId="5DF9877F" w:rsidR="0016750D" w:rsidRPr="004A0A4F" w:rsidRDefault="009C33F3" w:rsidP="004A0A4F">
      <w:pPr>
        <w:jc w:val="center"/>
        <w:rPr>
          <w:b/>
          <w:bCs/>
          <w:sz w:val="22"/>
          <w:szCs w:val="22"/>
        </w:rPr>
      </w:pPr>
      <w:r w:rsidRPr="004A0A4F">
        <w:rPr>
          <w:b/>
          <w:bCs/>
          <w:sz w:val="22"/>
          <w:szCs w:val="22"/>
        </w:rPr>
        <w:t>AAPM</w:t>
      </w:r>
      <w:r w:rsidR="7B5FF09D" w:rsidRPr="004A0A4F">
        <w:rPr>
          <w:b/>
          <w:bCs/>
          <w:sz w:val="22"/>
          <w:szCs w:val="22"/>
        </w:rPr>
        <w:t>&amp;</w:t>
      </w:r>
      <w:r w:rsidRPr="004A0A4F">
        <w:rPr>
          <w:b/>
          <w:bCs/>
          <w:sz w:val="22"/>
          <w:szCs w:val="22"/>
        </w:rPr>
        <w:t>R</w:t>
      </w:r>
      <w:r w:rsidR="00842656" w:rsidRPr="004A0A4F">
        <w:rPr>
          <w:b/>
          <w:bCs/>
          <w:sz w:val="22"/>
          <w:szCs w:val="22"/>
        </w:rPr>
        <w:t xml:space="preserve"> Honoraria </w:t>
      </w:r>
      <w:r w:rsidR="00EF4C26" w:rsidRPr="004A0A4F">
        <w:rPr>
          <w:b/>
          <w:bCs/>
          <w:sz w:val="22"/>
          <w:szCs w:val="22"/>
        </w:rPr>
        <w:t xml:space="preserve">and Reimbursement </w:t>
      </w:r>
      <w:r w:rsidR="00842656" w:rsidRPr="004A0A4F">
        <w:rPr>
          <w:b/>
          <w:bCs/>
          <w:sz w:val="22"/>
          <w:szCs w:val="22"/>
        </w:rPr>
        <w:t>Policy</w:t>
      </w:r>
    </w:p>
    <w:p w14:paraId="03407D39" w14:textId="77777777" w:rsidR="00842656" w:rsidRPr="004A0A4F" w:rsidRDefault="00842656" w:rsidP="004A0A4F">
      <w:pPr>
        <w:rPr>
          <w:sz w:val="22"/>
          <w:szCs w:val="22"/>
        </w:rPr>
      </w:pPr>
    </w:p>
    <w:p w14:paraId="19753642" w14:textId="77777777" w:rsidR="004A0A4F" w:rsidRPr="004A0A4F" w:rsidRDefault="004A0A4F" w:rsidP="004A0A4F">
      <w:pPr>
        <w:rPr>
          <w:sz w:val="22"/>
          <w:szCs w:val="22"/>
        </w:rPr>
      </w:pPr>
      <w:r w:rsidRPr="004A0A4F">
        <w:rPr>
          <w:sz w:val="22"/>
          <w:szCs w:val="22"/>
        </w:rPr>
        <w:t xml:space="preserve">Participation in AAPM&amp;R educational activities is voluntary. Serving as course director or faculty for an AAPM&amp;R educational activity requires considerable time and effort. The AAPM&amp;R gratefully recognizes this contribution of its faculty. An honorarium is a one-time payment made to an individual as recognition of their contribution in an Academy educational activity.   </w:t>
      </w:r>
    </w:p>
    <w:p w14:paraId="40AF3E4B" w14:textId="77777777" w:rsidR="004A0A4F" w:rsidRPr="004A0A4F" w:rsidRDefault="004A0A4F" w:rsidP="004A0A4F">
      <w:pPr>
        <w:rPr>
          <w:sz w:val="22"/>
          <w:szCs w:val="22"/>
        </w:rPr>
      </w:pPr>
    </w:p>
    <w:p w14:paraId="1DF5A58E" w14:textId="77777777" w:rsidR="004A0A4F" w:rsidRPr="004A0A4F" w:rsidRDefault="004A0A4F" w:rsidP="004A0A4F">
      <w:pPr>
        <w:rPr>
          <w:sz w:val="22"/>
          <w:szCs w:val="22"/>
        </w:rPr>
      </w:pPr>
      <w:r w:rsidRPr="004A0A4F">
        <w:rPr>
          <w:sz w:val="22"/>
          <w:szCs w:val="22"/>
        </w:rPr>
        <w:t xml:space="preserve">Honorarium amounts are determined by the Medical Education Committee (MEC), using factors such as course type (i.e. hands-on), length of the course, and level of participation. </w:t>
      </w:r>
    </w:p>
    <w:p w14:paraId="73DCF80C" w14:textId="77777777" w:rsidR="004A0A4F" w:rsidRPr="004A0A4F" w:rsidRDefault="004A0A4F" w:rsidP="004A0A4F">
      <w:pPr>
        <w:rPr>
          <w:sz w:val="22"/>
          <w:szCs w:val="22"/>
        </w:rPr>
      </w:pPr>
    </w:p>
    <w:p w14:paraId="7F24DECA" w14:textId="77777777" w:rsidR="004A0A4F" w:rsidRPr="004A0A4F" w:rsidRDefault="004A0A4F" w:rsidP="004A0A4F">
      <w:pPr>
        <w:rPr>
          <w:b/>
          <w:bCs/>
          <w:sz w:val="22"/>
          <w:szCs w:val="22"/>
        </w:rPr>
      </w:pPr>
      <w:r w:rsidRPr="004A0A4F">
        <w:rPr>
          <w:b/>
          <w:bCs/>
          <w:sz w:val="22"/>
          <w:szCs w:val="22"/>
        </w:rPr>
        <w:t xml:space="preserve">The AAPM&amp;R will pay honoraria in accordance with the below </w:t>
      </w:r>
      <w:r w:rsidRPr="004A0A4F">
        <w:rPr>
          <w:b/>
          <w:bCs/>
          <w:i/>
          <w:iCs/>
          <w:sz w:val="22"/>
          <w:szCs w:val="22"/>
        </w:rPr>
        <w:t>maximum</w:t>
      </w:r>
      <w:r w:rsidRPr="004A0A4F">
        <w:rPr>
          <w:b/>
          <w:bCs/>
          <w:sz w:val="22"/>
          <w:szCs w:val="22"/>
        </w:rPr>
        <w:t xml:space="preserve"> amounts:</w:t>
      </w:r>
    </w:p>
    <w:p w14:paraId="4483E418" w14:textId="77777777" w:rsidR="004A0A4F" w:rsidRPr="004A0A4F" w:rsidRDefault="004A0A4F" w:rsidP="004A0A4F">
      <w:pPr>
        <w:rPr>
          <w:sz w:val="22"/>
          <w:szCs w:val="22"/>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5"/>
        <w:gridCol w:w="1738"/>
        <w:gridCol w:w="1738"/>
      </w:tblGrid>
      <w:tr w:rsidR="004A0A4F" w:rsidRPr="004A0A4F" w14:paraId="2121EB99" w14:textId="77777777" w:rsidTr="001D7E76">
        <w:trPr>
          <w:trHeight w:val="328"/>
          <w:jc w:val="center"/>
        </w:trPr>
        <w:tc>
          <w:tcPr>
            <w:tcW w:w="6475" w:type="dxa"/>
          </w:tcPr>
          <w:p w14:paraId="12D2382D" w14:textId="77777777" w:rsidR="004A0A4F" w:rsidRPr="004A0A4F" w:rsidRDefault="004A0A4F" w:rsidP="004A0A4F">
            <w:pPr>
              <w:rPr>
                <w:b/>
                <w:bCs/>
                <w:sz w:val="22"/>
                <w:szCs w:val="22"/>
              </w:rPr>
            </w:pPr>
            <w:r w:rsidRPr="004A0A4F">
              <w:rPr>
                <w:b/>
                <w:bCs/>
                <w:sz w:val="22"/>
                <w:szCs w:val="22"/>
              </w:rPr>
              <w:t>Course Type</w:t>
            </w:r>
          </w:p>
        </w:tc>
        <w:tc>
          <w:tcPr>
            <w:tcW w:w="1738" w:type="dxa"/>
          </w:tcPr>
          <w:p w14:paraId="25C1C674" w14:textId="77777777" w:rsidR="004A0A4F" w:rsidRPr="004A0A4F" w:rsidRDefault="004A0A4F" w:rsidP="004A0A4F">
            <w:pPr>
              <w:rPr>
                <w:b/>
                <w:bCs/>
                <w:sz w:val="22"/>
                <w:szCs w:val="22"/>
              </w:rPr>
            </w:pPr>
            <w:r w:rsidRPr="004A0A4F">
              <w:rPr>
                <w:b/>
                <w:bCs/>
                <w:sz w:val="22"/>
                <w:szCs w:val="22"/>
              </w:rPr>
              <w:t>Course Directors</w:t>
            </w:r>
          </w:p>
        </w:tc>
        <w:tc>
          <w:tcPr>
            <w:tcW w:w="1738" w:type="dxa"/>
          </w:tcPr>
          <w:p w14:paraId="15E71B26" w14:textId="77777777" w:rsidR="004A0A4F" w:rsidRPr="004A0A4F" w:rsidRDefault="004A0A4F" w:rsidP="004A0A4F">
            <w:pPr>
              <w:rPr>
                <w:b/>
                <w:bCs/>
                <w:sz w:val="22"/>
                <w:szCs w:val="22"/>
              </w:rPr>
            </w:pPr>
            <w:r w:rsidRPr="004A0A4F">
              <w:rPr>
                <w:b/>
                <w:bCs/>
                <w:sz w:val="22"/>
                <w:szCs w:val="22"/>
              </w:rPr>
              <w:t>Faculty</w:t>
            </w:r>
          </w:p>
          <w:p w14:paraId="5E092D76" w14:textId="77777777" w:rsidR="004A0A4F" w:rsidRPr="004A0A4F" w:rsidRDefault="004A0A4F" w:rsidP="004A0A4F">
            <w:pPr>
              <w:rPr>
                <w:b/>
                <w:bCs/>
                <w:sz w:val="22"/>
                <w:szCs w:val="22"/>
              </w:rPr>
            </w:pPr>
            <w:r w:rsidRPr="004A0A4F">
              <w:rPr>
                <w:b/>
                <w:bCs/>
                <w:sz w:val="22"/>
                <w:szCs w:val="22"/>
              </w:rPr>
              <w:t>(MD and Non-MD)</w:t>
            </w:r>
          </w:p>
        </w:tc>
      </w:tr>
      <w:tr w:rsidR="004A0A4F" w:rsidRPr="004A0A4F" w14:paraId="42DC732D" w14:textId="77777777" w:rsidTr="001D7E76">
        <w:trPr>
          <w:trHeight w:val="328"/>
          <w:jc w:val="center"/>
        </w:trPr>
        <w:tc>
          <w:tcPr>
            <w:tcW w:w="6475" w:type="dxa"/>
          </w:tcPr>
          <w:p w14:paraId="2D581D5B" w14:textId="77777777" w:rsidR="004A0A4F" w:rsidRPr="004A0A4F" w:rsidRDefault="004A0A4F" w:rsidP="004A0A4F">
            <w:pPr>
              <w:rPr>
                <w:sz w:val="22"/>
                <w:szCs w:val="22"/>
              </w:rPr>
            </w:pPr>
            <w:r w:rsidRPr="004A0A4F">
              <w:rPr>
                <w:sz w:val="22"/>
                <w:szCs w:val="22"/>
              </w:rPr>
              <w:t xml:space="preserve">Annual Assembly Pre-Course (full participation)  </w:t>
            </w:r>
          </w:p>
        </w:tc>
        <w:tc>
          <w:tcPr>
            <w:tcW w:w="1738" w:type="dxa"/>
          </w:tcPr>
          <w:p w14:paraId="286AFE8E" w14:textId="77777777" w:rsidR="004A0A4F" w:rsidRPr="004A0A4F" w:rsidRDefault="004A0A4F" w:rsidP="004A0A4F">
            <w:pPr>
              <w:rPr>
                <w:sz w:val="22"/>
                <w:szCs w:val="22"/>
              </w:rPr>
            </w:pPr>
            <w:r w:rsidRPr="004A0A4F">
              <w:rPr>
                <w:sz w:val="22"/>
                <w:szCs w:val="22"/>
              </w:rPr>
              <w:t>$1,500</w:t>
            </w:r>
          </w:p>
        </w:tc>
        <w:tc>
          <w:tcPr>
            <w:tcW w:w="1738" w:type="dxa"/>
          </w:tcPr>
          <w:p w14:paraId="2BB466E7" w14:textId="77777777" w:rsidR="004A0A4F" w:rsidRPr="004A0A4F" w:rsidRDefault="004A0A4F" w:rsidP="004A0A4F">
            <w:pPr>
              <w:rPr>
                <w:sz w:val="22"/>
                <w:szCs w:val="22"/>
              </w:rPr>
            </w:pPr>
            <w:r w:rsidRPr="004A0A4F">
              <w:rPr>
                <w:sz w:val="22"/>
                <w:szCs w:val="22"/>
              </w:rPr>
              <w:t>$1,000</w:t>
            </w:r>
          </w:p>
        </w:tc>
      </w:tr>
      <w:tr w:rsidR="004A0A4F" w:rsidRPr="004A0A4F" w14:paraId="4D9DEC92" w14:textId="77777777" w:rsidTr="001D7E76">
        <w:trPr>
          <w:trHeight w:val="328"/>
          <w:jc w:val="center"/>
        </w:trPr>
        <w:tc>
          <w:tcPr>
            <w:tcW w:w="6475" w:type="dxa"/>
          </w:tcPr>
          <w:p w14:paraId="1E3B5539" w14:textId="77777777" w:rsidR="004A0A4F" w:rsidRPr="004A0A4F" w:rsidRDefault="004A0A4F" w:rsidP="004A0A4F">
            <w:pPr>
              <w:rPr>
                <w:sz w:val="22"/>
                <w:szCs w:val="22"/>
              </w:rPr>
            </w:pPr>
            <w:r w:rsidRPr="004A0A4F">
              <w:rPr>
                <w:sz w:val="22"/>
                <w:szCs w:val="22"/>
              </w:rPr>
              <w:t>Annual Assembly Pre-Course (table training only)</w:t>
            </w:r>
          </w:p>
        </w:tc>
        <w:tc>
          <w:tcPr>
            <w:tcW w:w="1738" w:type="dxa"/>
          </w:tcPr>
          <w:p w14:paraId="6541374F" w14:textId="77777777" w:rsidR="004A0A4F" w:rsidRPr="004A0A4F" w:rsidRDefault="004A0A4F" w:rsidP="004A0A4F">
            <w:pPr>
              <w:rPr>
                <w:sz w:val="22"/>
                <w:szCs w:val="22"/>
              </w:rPr>
            </w:pPr>
            <w:r w:rsidRPr="004A0A4F">
              <w:rPr>
                <w:sz w:val="22"/>
                <w:szCs w:val="22"/>
              </w:rPr>
              <w:t>N/A</w:t>
            </w:r>
          </w:p>
        </w:tc>
        <w:tc>
          <w:tcPr>
            <w:tcW w:w="1738" w:type="dxa"/>
          </w:tcPr>
          <w:p w14:paraId="11F3B61B" w14:textId="77777777" w:rsidR="004A0A4F" w:rsidRPr="004A0A4F" w:rsidRDefault="004A0A4F" w:rsidP="004A0A4F">
            <w:pPr>
              <w:rPr>
                <w:sz w:val="22"/>
                <w:szCs w:val="22"/>
              </w:rPr>
            </w:pPr>
            <w:r w:rsidRPr="004A0A4F">
              <w:rPr>
                <w:sz w:val="22"/>
                <w:szCs w:val="22"/>
              </w:rPr>
              <w:t>$500</w:t>
            </w:r>
          </w:p>
        </w:tc>
      </w:tr>
      <w:tr w:rsidR="004A0A4F" w:rsidRPr="004A0A4F" w14:paraId="1F1E7F65" w14:textId="77777777" w:rsidTr="001D7E76">
        <w:trPr>
          <w:trHeight w:val="328"/>
          <w:jc w:val="center"/>
        </w:trPr>
        <w:tc>
          <w:tcPr>
            <w:tcW w:w="6475" w:type="dxa"/>
          </w:tcPr>
          <w:p w14:paraId="3E8970CF" w14:textId="77777777" w:rsidR="004A0A4F" w:rsidRPr="004A0A4F" w:rsidRDefault="004A0A4F" w:rsidP="004A0A4F">
            <w:pPr>
              <w:rPr>
                <w:sz w:val="22"/>
                <w:szCs w:val="22"/>
              </w:rPr>
            </w:pPr>
            <w:r w:rsidRPr="004A0A4F">
              <w:rPr>
                <w:sz w:val="22"/>
                <w:szCs w:val="22"/>
              </w:rPr>
              <w:t>Annual Assembly Invited Sessions (Non-Physiatrist)</w:t>
            </w:r>
          </w:p>
        </w:tc>
        <w:tc>
          <w:tcPr>
            <w:tcW w:w="3476" w:type="dxa"/>
            <w:gridSpan w:val="2"/>
          </w:tcPr>
          <w:p w14:paraId="39B991E3" w14:textId="77777777" w:rsidR="004A0A4F" w:rsidRPr="004A0A4F" w:rsidRDefault="004A0A4F" w:rsidP="004A0A4F">
            <w:pPr>
              <w:rPr>
                <w:sz w:val="22"/>
                <w:szCs w:val="22"/>
              </w:rPr>
            </w:pPr>
            <w:r w:rsidRPr="004A0A4F">
              <w:rPr>
                <w:sz w:val="22"/>
                <w:szCs w:val="22"/>
              </w:rPr>
              <w:t>$300/session; maximum of $1000/day</w:t>
            </w:r>
          </w:p>
        </w:tc>
      </w:tr>
      <w:tr w:rsidR="004A0A4F" w:rsidRPr="004A0A4F" w14:paraId="3B7F1409" w14:textId="77777777" w:rsidTr="001D7E76">
        <w:trPr>
          <w:trHeight w:val="328"/>
          <w:jc w:val="center"/>
        </w:trPr>
        <w:tc>
          <w:tcPr>
            <w:tcW w:w="6475" w:type="dxa"/>
          </w:tcPr>
          <w:p w14:paraId="7009F591" w14:textId="77777777" w:rsidR="004A0A4F" w:rsidRPr="004A0A4F" w:rsidRDefault="004A0A4F" w:rsidP="004A0A4F">
            <w:pPr>
              <w:rPr>
                <w:sz w:val="22"/>
                <w:szCs w:val="22"/>
              </w:rPr>
            </w:pPr>
            <w:r w:rsidRPr="004A0A4F">
              <w:rPr>
                <w:sz w:val="22"/>
                <w:szCs w:val="22"/>
              </w:rPr>
              <w:t>Annual Assembly Invited Sessions (Physiatrist): 8 – 12 hours</w:t>
            </w:r>
          </w:p>
        </w:tc>
        <w:tc>
          <w:tcPr>
            <w:tcW w:w="3476" w:type="dxa"/>
            <w:gridSpan w:val="2"/>
          </w:tcPr>
          <w:p w14:paraId="491EBE80" w14:textId="77777777" w:rsidR="004A0A4F" w:rsidRPr="004A0A4F" w:rsidRDefault="004A0A4F" w:rsidP="004A0A4F">
            <w:pPr>
              <w:rPr>
                <w:sz w:val="22"/>
                <w:szCs w:val="22"/>
              </w:rPr>
            </w:pPr>
            <w:r w:rsidRPr="004A0A4F">
              <w:rPr>
                <w:sz w:val="22"/>
                <w:szCs w:val="22"/>
              </w:rPr>
              <w:t>½ off AA Registration (early bird)</w:t>
            </w:r>
          </w:p>
        </w:tc>
      </w:tr>
      <w:tr w:rsidR="004A0A4F" w:rsidRPr="004A0A4F" w14:paraId="23394AB6" w14:textId="77777777" w:rsidTr="001D7E76">
        <w:trPr>
          <w:trHeight w:val="328"/>
          <w:jc w:val="center"/>
        </w:trPr>
        <w:tc>
          <w:tcPr>
            <w:tcW w:w="6475" w:type="dxa"/>
          </w:tcPr>
          <w:p w14:paraId="15306774" w14:textId="77777777" w:rsidR="004A0A4F" w:rsidRPr="004A0A4F" w:rsidRDefault="004A0A4F" w:rsidP="004A0A4F">
            <w:pPr>
              <w:rPr>
                <w:sz w:val="22"/>
                <w:szCs w:val="22"/>
              </w:rPr>
            </w:pPr>
            <w:r w:rsidRPr="004A0A4F">
              <w:rPr>
                <w:sz w:val="22"/>
                <w:szCs w:val="22"/>
              </w:rPr>
              <w:t>Annual Assembly Invited Sessions (Physiatrist): More than 12 hours</w:t>
            </w:r>
          </w:p>
        </w:tc>
        <w:tc>
          <w:tcPr>
            <w:tcW w:w="3476" w:type="dxa"/>
            <w:gridSpan w:val="2"/>
          </w:tcPr>
          <w:p w14:paraId="7CFD79DF" w14:textId="77777777" w:rsidR="004A0A4F" w:rsidRPr="004A0A4F" w:rsidRDefault="004A0A4F" w:rsidP="004A0A4F">
            <w:pPr>
              <w:rPr>
                <w:sz w:val="22"/>
                <w:szCs w:val="22"/>
              </w:rPr>
            </w:pPr>
            <w:r w:rsidRPr="004A0A4F">
              <w:rPr>
                <w:sz w:val="22"/>
                <w:szCs w:val="22"/>
              </w:rPr>
              <w:t>AA Registration will be waived</w:t>
            </w:r>
          </w:p>
        </w:tc>
      </w:tr>
      <w:tr w:rsidR="004A0A4F" w:rsidRPr="004A0A4F" w14:paraId="53F089B3" w14:textId="77777777" w:rsidTr="001D7E76">
        <w:trPr>
          <w:trHeight w:val="328"/>
          <w:jc w:val="center"/>
        </w:trPr>
        <w:tc>
          <w:tcPr>
            <w:tcW w:w="6475" w:type="dxa"/>
          </w:tcPr>
          <w:p w14:paraId="67F3F4C4" w14:textId="77777777" w:rsidR="004A0A4F" w:rsidRPr="004A0A4F" w:rsidRDefault="004A0A4F" w:rsidP="004A0A4F">
            <w:pPr>
              <w:rPr>
                <w:sz w:val="22"/>
                <w:szCs w:val="22"/>
              </w:rPr>
            </w:pPr>
            <w:r w:rsidRPr="004A0A4F">
              <w:rPr>
                <w:sz w:val="22"/>
                <w:szCs w:val="22"/>
              </w:rPr>
              <w:t xml:space="preserve">Stand-alone courses </w:t>
            </w:r>
          </w:p>
        </w:tc>
        <w:tc>
          <w:tcPr>
            <w:tcW w:w="1738" w:type="dxa"/>
          </w:tcPr>
          <w:p w14:paraId="1501FC71" w14:textId="77777777" w:rsidR="004A0A4F" w:rsidRPr="004A0A4F" w:rsidRDefault="004A0A4F" w:rsidP="004A0A4F">
            <w:pPr>
              <w:rPr>
                <w:sz w:val="22"/>
                <w:szCs w:val="22"/>
              </w:rPr>
            </w:pPr>
            <w:r w:rsidRPr="004A0A4F">
              <w:rPr>
                <w:sz w:val="22"/>
                <w:szCs w:val="22"/>
              </w:rPr>
              <w:t>$1,500</w:t>
            </w:r>
          </w:p>
        </w:tc>
        <w:tc>
          <w:tcPr>
            <w:tcW w:w="1738" w:type="dxa"/>
          </w:tcPr>
          <w:p w14:paraId="083E2A7C" w14:textId="77777777" w:rsidR="004A0A4F" w:rsidRPr="004A0A4F" w:rsidRDefault="004A0A4F" w:rsidP="004A0A4F">
            <w:pPr>
              <w:rPr>
                <w:sz w:val="22"/>
                <w:szCs w:val="22"/>
              </w:rPr>
            </w:pPr>
            <w:r w:rsidRPr="004A0A4F">
              <w:rPr>
                <w:sz w:val="22"/>
                <w:szCs w:val="22"/>
              </w:rPr>
              <w:t>$1,000</w:t>
            </w:r>
          </w:p>
        </w:tc>
      </w:tr>
      <w:tr w:rsidR="004A0A4F" w:rsidRPr="004A0A4F" w14:paraId="4A480F09" w14:textId="77777777" w:rsidTr="001D7E76">
        <w:trPr>
          <w:trHeight w:val="328"/>
          <w:jc w:val="center"/>
        </w:trPr>
        <w:tc>
          <w:tcPr>
            <w:tcW w:w="6475" w:type="dxa"/>
          </w:tcPr>
          <w:p w14:paraId="4DDF69C6" w14:textId="77777777" w:rsidR="004A0A4F" w:rsidRPr="004A0A4F" w:rsidRDefault="004A0A4F" w:rsidP="004A0A4F">
            <w:pPr>
              <w:rPr>
                <w:sz w:val="22"/>
                <w:szCs w:val="22"/>
              </w:rPr>
            </w:pPr>
            <w:r w:rsidRPr="004A0A4F">
              <w:rPr>
                <w:sz w:val="22"/>
                <w:szCs w:val="22"/>
              </w:rPr>
              <w:t>Stand-alone courses (participation as table trainer only)</w:t>
            </w:r>
          </w:p>
        </w:tc>
        <w:tc>
          <w:tcPr>
            <w:tcW w:w="1738" w:type="dxa"/>
          </w:tcPr>
          <w:p w14:paraId="0EE9B14A" w14:textId="77777777" w:rsidR="004A0A4F" w:rsidRPr="004A0A4F" w:rsidRDefault="004A0A4F" w:rsidP="004A0A4F">
            <w:pPr>
              <w:rPr>
                <w:sz w:val="22"/>
                <w:szCs w:val="22"/>
              </w:rPr>
            </w:pPr>
            <w:r w:rsidRPr="004A0A4F">
              <w:rPr>
                <w:sz w:val="22"/>
                <w:szCs w:val="22"/>
              </w:rPr>
              <w:t>N/A</w:t>
            </w:r>
          </w:p>
        </w:tc>
        <w:tc>
          <w:tcPr>
            <w:tcW w:w="1738" w:type="dxa"/>
          </w:tcPr>
          <w:p w14:paraId="36432DFD" w14:textId="77777777" w:rsidR="004A0A4F" w:rsidRPr="004A0A4F" w:rsidRDefault="004A0A4F" w:rsidP="004A0A4F">
            <w:pPr>
              <w:rPr>
                <w:sz w:val="22"/>
                <w:szCs w:val="22"/>
              </w:rPr>
            </w:pPr>
            <w:r w:rsidRPr="004A0A4F">
              <w:rPr>
                <w:sz w:val="22"/>
                <w:szCs w:val="22"/>
              </w:rPr>
              <w:t>$500</w:t>
            </w:r>
          </w:p>
        </w:tc>
      </w:tr>
      <w:tr w:rsidR="004A0A4F" w:rsidRPr="004A0A4F" w14:paraId="03CB12ED" w14:textId="77777777" w:rsidTr="001D7E76">
        <w:trPr>
          <w:trHeight w:val="328"/>
          <w:jc w:val="center"/>
        </w:trPr>
        <w:tc>
          <w:tcPr>
            <w:tcW w:w="6475" w:type="dxa"/>
          </w:tcPr>
          <w:p w14:paraId="4975BB17" w14:textId="77777777" w:rsidR="004A0A4F" w:rsidRPr="004A0A4F" w:rsidRDefault="004A0A4F" w:rsidP="004A0A4F">
            <w:pPr>
              <w:rPr>
                <w:sz w:val="22"/>
                <w:szCs w:val="22"/>
              </w:rPr>
            </w:pPr>
            <w:r w:rsidRPr="004A0A4F">
              <w:rPr>
                <w:sz w:val="22"/>
                <w:szCs w:val="22"/>
              </w:rPr>
              <w:t>Webinars</w:t>
            </w:r>
          </w:p>
        </w:tc>
        <w:tc>
          <w:tcPr>
            <w:tcW w:w="1738" w:type="dxa"/>
          </w:tcPr>
          <w:p w14:paraId="44972DA2" w14:textId="77777777" w:rsidR="004A0A4F" w:rsidRPr="004A0A4F" w:rsidRDefault="004A0A4F" w:rsidP="004A0A4F">
            <w:pPr>
              <w:rPr>
                <w:sz w:val="22"/>
                <w:szCs w:val="22"/>
              </w:rPr>
            </w:pPr>
            <w:r w:rsidRPr="004A0A4F">
              <w:rPr>
                <w:sz w:val="22"/>
                <w:szCs w:val="22"/>
              </w:rPr>
              <w:t>N/A</w:t>
            </w:r>
          </w:p>
        </w:tc>
        <w:tc>
          <w:tcPr>
            <w:tcW w:w="1738" w:type="dxa"/>
          </w:tcPr>
          <w:p w14:paraId="76BE763E" w14:textId="77777777" w:rsidR="004A0A4F" w:rsidRPr="004A0A4F" w:rsidRDefault="004A0A4F" w:rsidP="004A0A4F">
            <w:pPr>
              <w:rPr>
                <w:sz w:val="22"/>
                <w:szCs w:val="22"/>
              </w:rPr>
            </w:pPr>
            <w:r w:rsidRPr="004A0A4F">
              <w:rPr>
                <w:sz w:val="22"/>
                <w:szCs w:val="22"/>
              </w:rPr>
              <w:t>N/A</w:t>
            </w:r>
          </w:p>
        </w:tc>
      </w:tr>
    </w:tbl>
    <w:p w14:paraId="20A1BEE1" w14:textId="77777777" w:rsidR="004A0A4F" w:rsidRPr="004A0A4F" w:rsidRDefault="004A0A4F" w:rsidP="004A0A4F">
      <w:pPr>
        <w:rPr>
          <w:sz w:val="22"/>
          <w:szCs w:val="22"/>
        </w:rPr>
      </w:pPr>
    </w:p>
    <w:p w14:paraId="78247ABA" w14:textId="77777777" w:rsidR="004A0A4F" w:rsidRPr="004A0A4F" w:rsidRDefault="004A0A4F" w:rsidP="004A0A4F">
      <w:pPr>
        <w:rPr>
          <w:sz w:val="22"/>
          <w:szCs w:val="22"/>
        </w:rPr>
      </w:pPr>
      <w:r w:rsidRPr="004A0A4F">
        <w:rPr>
          <w:sz w:val="22"/>
          <w:szCs w:val="22"/>
        </w:rPr>
        <w:t xml:space="preserve">** Note, invited sessions include skills labs, learning center and didactic sessions developed by the Program Planning Committee (i.e., not submitted through the call for proposals).    </w:t>
      </w:r>
    </w:p>
    <w:p w14:paraId="2A852C3B" w14:textId="77777777" w:rsidR="004A0A4F" w:rsidRPr="004A0A4F" w:rsidRDefault="004A0A4F" w:rsidP="004A0A4F">
      <w:pPr>
        <w:rPr>
          <w:sz w:val="22"/>
          <w:szCs w:val="22"/>
        </w:rPr>
      </w:pPr>
    </w:p>
    <w:p w14:paraId="51FE943F" w14:textId="77777777" w:rsidR="004A0A4F" w:rsidRPr="004A0A4F" w:rsidRDefault="004A0A4F" w:rsidP="004A0A4F">
      <w:pPr>
        <w:rPr>
          <w:sz w:val="22"/>
          <w:szCs w:val="22"/>
        </w:rPr>
      </w:pPr>
      <w:r w:rsidRPr="004A0A4F">
        <w:rPr>
          <w:sz w:val="22"/>
          <w:szCs w:val="22"/>
        </w:rPr>
        <w:t>A higher honorarium amount may also be approved on a case-by-case basis, based on the specific needs of the course, the unique expertise or qualifications of the faculty that is requested, or if a new course type is implemented. Alternative honoraria requests must be submitted by the course directors for review by the MEC Chair and, if needed for budgetary purposes, the treasurer.</w:t>
      </w:r>
    </w:p>
    <w:p w14:paraId="2E8A134C" w14:textId="77777777" w:rsidR="004A0A4F" w:rsidRPr="004A0A4F" w:rsidRDefault="004A0A4F" w:rsidP="004A0A4F">
      <w:pPr>
        <w:rPr>
          <w:sz w:val="22"/>
          <w:szCs w:val="22"/>
        </w:rPr>
      </w:pPr>
    </w:p>
    <w:p w14:paraId="02131F5B" w14:textId="77777777" w:rsidR="004A0A4F" w:rsidRPr="004A0A4F" w:rsidRDefault="004A0A4F" w:rsidP="004A0A4F">
      <w:pPr>
        <w:rPr>
          <w:sz w:val="22"/>
          <w:szCs w:val="22"/>
        </w:rPr>
      </w:pPr>
      <w:r w:rsidRPr="004A0A4F">
        <w:rPr>
          <w:sz w:val="22"/>
          <w:szCs w:val="22"/>
        </w:rPr>
        <w:t>Faculty who agree to participate in an AAPM&amp;R educational activity are obligated to make reasonable efforts to meet deadlines for submitting CME materials and participate in the course itself. Honoraria may be reduced or even withheld from course faculty if the directors report that the faculty did not meet their obligations. In instances where a course director does not fulfill his or her obligations, the MEC Chair and the President will review the appropriateness of paying full honoraria to the course director.</w:t>
      </w:r>
    </w:p>
    <w:p w14:paraId="32A6AA3F" w14:textId="77777777" w:rsidR="004A0A4F" w:rsidRPr="004A0A4F" w:rsidRDefault="004A0A4F" w:rsidP="004A0A4F">
      <w:pPr>
        <w:rPr>
          <w:sz w:val="22"/>
          <w:szCs w:val="22"/>
        </w:rPr>
      </w:pPr>
    </w:p>
    <w:p w14:paraId="3EDDF19B" w14:textId="77777777" w:rsidR="004A0A4F" w:rsidRPr="004A0A4F" w:rsidRDefault="004A0A4F" w:rsidP="004A0A4F">
      <w:pPr>
        <w:rPr>
          <w:sz w:val="22"/>
          <w:szCs w:val="22"/>
        </w:rPr>
      </w:pPr>
      <w:r w:rsidRPr="004A0A4F">
        <w:rPr>
          <w:sz w:val="22"/>
          <w:szCs w:val="22"/>
        </w:rPr>
        <w:t xml:space="preserve">Honoraria is not provided for the development of enduring materials, but may be approved for specific products. In lieu of an honorarium, complimentary access may be provided to the authoring faculty, but will need prior approval.  </w:t>
      </w:r>
    </w:p>
    <w:p w14:paraId="638A930F" w14:textId="77777777" w:rsidR="004A0A4F" w:rsidRPr="004A0A4F" w:rsidRDefault="004A0A4F" w:rsidP="004A0A4F">
      <w:pPr>
        <w:rPr>
          <w:sz w:val="22"/>
          <w:szCs w:val="22"/>
        </w:rPr>
      </w:pPr>
    </w:p>
    <w:p w14:paraId="563898CA" w14:textId="77777777" w:rsidR="004A0A4F" w:rsidRPr="004A0A4F" w:rsidRDefault="004A0A4F" w:rsidP="004A0A4F">
      <w:pPr>
        <w:rPr>
          <w:sz w:val="22"/>
          <w:szCs w:val="22"/>
        </w:rPr>
      </w:pPr>
      <w:r w:rsidRPr="004A0A4F">
        <w:rPr>
          <w:sz w:val="22"/>
          <w:szCs w:val="22"/>
        </w:rPr>
        <w:t>Honoraria will not be provided for journal or manuscript review CME.</w:t>
      </w:r>
    </w:p>
    <w:p w14:paraId="544A5E44" w14:textId="77777777" w:rsidR="004A0A4F" w:rsidRPr="004A0A4F" w:rsidRDefault="004A0A4F" w:rsidP="004A0A4F">
      <w:pPr>
        <w:rPr>
          <w:sz w:val="22"/>
          <w:szCs w:val="22"/>
        </w:rPr>
      </w:pPr>
    </w:p>
    <w:p w14:paraId="440F2B39" w14:textId="77777777" w:rsidR="004A0A4F" w:rsidRPr="004A0A4F" w:rsidRDefault="004A0A4F" w:rsidP="004A0A4F">
      <w:pPr>
        <w:rPr>
          <w:sz w:val="22"/>
          <w:szCs w:val="22"/>
        </w:rPr>
      </w:pPr>
      <w:r w:rsidRPr="004A0A4F">
        <w:rPr>
          <w:sz w:val="22"/>
          <w:szCs w:val="22"/>
        </w:rPr>
        <w:lastRenderedPageBreak/>
        <w:t>All honoraria will be paid directly by AAPM&amp;R (or a designated educational partner), following the faculty member’s participation in the activity.  All faculty members are required to attest that they have not and will not accept any honoraria, additional payments or reimbursements directly from a commercial entity for their participation in an AAPM&amp;R CME activity.</w:t>
      </w:r>
    </w:p>
    <w:p w14:paraId="14F9FF5A" w14:textId="77777777" w:rsidR="004A0A4F" w:rsidRPr="004A0A4F" w:rsidRDefault="004A0A4F" w:rsidP="004A0A4F">
      <w:pPr>
        <w:rPr>
          <w:sz w:val="22"/>
          <w:szCs w:val="22"/>
        </w:rPr>
      </w:pPr>
    </w:p>
    <w:p w14:paraId="55C5EAC6" w14:textId="77777777" w:rsidR="004A0A4F" w:rsidRPr="004A0A4F" w:rsidRDefault="004A0A4F" w:rsidP="004A0A4F">
      <w:pPr>
        <w:rPr>
          <w:b/>
          <w:bCs/>
          <w:sz w:val="22"/>
          <w:szCs w:val="22"/>
        </w:rPr>
      </w:pPr>
      <w:r w:rsidRPr="004A0A4F">
        <w:rPr>
          <w:b/>
          <w:bCs/>
          <w:sz w:val="22"/>
          <w:szCs w:val="22"/>
        </w:rPr>
        <w:t xml:space="preserve">Reimbursable Expenses for Annual Assembly Pre/Post-Courses and Stand-alone Courses Include: </w:t>
      </w:r>
    </w:p>
    <w:p w14:paraId="24CC87EC" w14:textId="77777777" w:rsidR="004A0A4F" w:rsidRPr="004A0A4F" w:rsidRDefault="004A0A4F" w:rsidP="004A0A4F">
      <w:pPr>
        <w:rPr>
          <w:i/>
          <w:sz w:val="22"/>
          <w:szCs w:val="22"/>
        </w:rPr>
      </w:pPr>
      <w:r w:rsidRPr="004A0A4F">
        <w:rPr>
          <w:i/>
          <w:sz w:val="22"/>
          <w:szCs w:val="22"/>
        </w:rPr>
        <w:t>All Faculty:</w:t>
      </w:r>
    </w:p>
    <w:p w14:paraId="558721FB" w14:textId="77777777" w:rsidR="004A0A4F" w:rsidRPr="004A0A4F" w:rsidRDefault="004A0A4F" w:rsidP="004A0A4F">
      <w:pPr>
        <w:numPr>
          <w:ilvl w:val="0"/>
          <w:numId w:val="3"/>
        </w:numPr>
        <w:ind w:left="720"/>
        <w:rPr>
          <w:sz w:val="22"/>
          <w:szCs w:val="22"/>
        </w:rPr>
      </w:pPr>
      <w:r w:rsidRPr="004A0A4F">
        <w:rPr>
          <w:sz w:val="22"/>
          <w:szCs w:val="22"/>
        </w:rPr>
        <w:t xml:space="preserve">Hotel accommodation that is commensurate with participation as faculty during the activity. </w:t>
      </w:r>
    </w:p>
    <w:p w14:paraId="3C2F6B55" w14:textId="77777777" w:rsidR="004A0A4F" w:rsidRPr="004A0A4F" w:rsidRDefault="004A0A4F" w:rsidP="004A0A4F">
      <w:pPr>
        <w:numPr>
          <w:ilvl w:val="0"/>
          <w:numId w:val="2"/>
        </w:numPr>
        <w:rPr>
          <w:sz w:val="22"/>
          <w:szCs w:val="22"/>
        </w:rPr>
      </w:pPr>
      <w:r w:rsidRPr="004A0A4F">
        <w:rPr>
          <w:sz w:val="22"/>
          <w:szCs w:val="22"/>
        </w:rPr>
        <w:t>Up to $70/day reimbursement for meals and tips (receipts must be submitted)</w:t>
      </w:r>
    </w:p>
    <w:p w14:paraId="02356ADC" w14:textId="77777777" w:rsidR="004A0A4F" w:rsidRPr="004A0A4F" w:rsidRDefault="004A0A4F" w:rsidP="004A0A4F">
      <w:pPr>
        <w:numPr>
          <w:ilvl w:val="0"/>
          <w:numId w:val="2"/>
        </w:numPr>
        <w:rPr>
          <w:sz w:val="22"/>
          <w:szCs w:val="22"/>
        </w:rPr>
      </w:pPr>
      <w:r w:rsidRPr="004A0A4F">
        <w:rPr>
          <w:sz w:val="22"/>
          <w:szCs w:val="22"/>
        </w:rPr>
        <w:t>Up to $160 total reimbursement for ground transportation (receipts must be submitted)</w:t>
      </w:r>
    </w:p>
    <w:p w14:paraId="56511844" w14:textId="77777777" w:rsidR="004A0A4F" w:rsidRPr="004A0A4F" w:rsidRDefault="004A0A4F" w:rsidP="004A0A4F">
      <w:pPr>
        <w:numPr>
          <w:ilvl w:val="0"/>
          <w:numId w:val="2"/>
        </w:numPr>
        <w:rPr>
          <w:sz w:val="22"/>
          <w:szCs w:val="22"/>
        </w:rPr>
      </w:pPr>
      <w:r w:rsidRPr="004A0A4F">
        <w:rPr>
          <w:sz w:val="22"/>
          <w:szCs w:val="22"/>
        </w:rPr>
        <w:t>Airfare/Mileage:</w:t>
      </w:r>
    </w:p>
    <w:p w14:paraId="001CD834" w14:textId="77777777" w:rsidR="004A0A4F" w:rsidRPr="004A0A4F" w:rsidRDefault="004A0A4F" w:rsidP="004A0A4F">
      <w:pPr>
        <w:numPr>
          <w:ilvl w:val="1"/>
          <w:numId w:val="2"/>
        </w:numPr>
        <w:rPr>
          <w:sz w:val="22"/>
          <w:szCs w:val="22"/>
        </w:rPr>
      </w:pPr>
      <w:r w:rsidRPr="004A0A4F">
        <w:rPr>
          <w:sz w:val="22"/>
          <w:szCs w:val="22"/>
        </w:rPr>
        <w:t xml:space="preserve"> </w:t>
      </w:r>
      <w:r w:rsidRPr="004A0A4F">
        <w:rPr>
          <w:i/>
          <w:iCs/>
          <w:sz w:val="22"/>
          <w:szCs w:val="22"/>
        </w:rPr>
        <w:t>AA Pre/Post-Courses</w:t>
      </w:r>
      <w:r w:rsidRPr="004A0A4F">
        <w:rPr>
          <w:sz w:val="22"/>
          <w:szCs w:val="22"/>
        </w:rPr>
        <w:t>: Only Non-Physiatrist faculty will receive airfare/mileage reimbursement (maximum airfare dollar amount to be provided in faculty letter and car mileage based on prevailing government rate).</w:t>
      </w:r>
    </w:p>
    <w:p w14:paraId="6D9EF1CB" w14:textId="77777777" w:rsidR="004A0A4F" w:rsidRPr="004A0A4F" w:rsidRDefault="004A0A4F" w:rsidP="004A0A4F">
      <w:pPr>
        <w:numPr>
          <w:ilvl w:val="1"/>
          <w:numId w:val="2"/>
        </w:numPr>
        <w:rPr>
          <w:sz w:val="22"/>
          <w:szCs w:val="22"/>
        </w:rPr>
      </w:pPr>
      <w:r w:rsidRPr="004A0A4F">
        <w:rPr>
          <w:i/>
          <w:sz w:val="22"/>
          <w:szCs w:val="22"/>
        </w:rPr>
        <w:t>Stand-alone courses:</w:t>
      </w:r>
      <w:r w:rsidRPr="004A0A4F">
        <w:rPr>
          <w:sz w:val="22"/>
          <w:szCs w:val="22"/>
        </w:rPr>
        <w:t xml:space="preserve">  All faculty will receive airfare/mileage reimbursement (maximum airfare dollar amount to be provided in faculty letter and car mileage based on prevailing government rate).</w:t>
      </w:r>
    </w:p>
    <w:p w14:paraId="05AEEDB7" w14:textId="77777777" w:rsidR="004A0A4F" w:rsidRPr="004A0A4F" w:rsidRDefault="004A0A4F" w:rsidP="004A0A4F">
      <w:pPr>
        <w:rPr>
          <w:sz w:val="22"/>
          <w:szCs w:val="22"/>
        </w:rPr>
      </w:pPr>
    </w:p>
    <w:p w14:paraId="22E235D0" w14:textId="77777777" w:rsidR="004A0A4F" w:rsidRPr="004A0A4F" w:rsidRDefault="004A0A4F" w:rsidP="004A0A4F">
      <w:pPr>
        <w:rPr>
          <w:sz w:val="22"/>
          <w:szCs w:val="22"/>
        </w:rPr>
      </w:pPr>
      <w:r w:rsidRPr="004A0A4F">
        <w:rPr>
          <w:b/>
          <w:bCs/>
          <w:sz w:val="22"/>
          <w:szCs w:val="22"/>
        </w:rPr>
        <w:t xml:space="preserve">Reimbursable Expenses for Participation During the Annual Assembly Include: </w:t>
      </w:r>
    </w:p>
    <w:p w14:paraId="5B37261B" w14:textId="77777777" w:rsidR="004A0A4F" w:rsidRPr="004A0A4F" w:rsidRDefault="004A0A4F" w:rsidP="004A0A4F">
      <w:pPr>
        <w:rPr>
          <w:i/>
          <w:iCs/>
          <w:sz w:val="22"/>
          <w:szCs w:val="22"/>
        </w:rPr>
      </w:pPr>
      <w:r w:rsidRPr="004A0A4F">
        <w:rPr>
          <w:i/>
          <w:iCs/>
          <w:sz w:val="22"/>
          <w:szCs w:val="22"/>
        </w:rPr>
        <w:t>Members and all Non-Member Physiatrists</w:t>
      </w:r>
    </w:p>
    <w:p w14:paraId="6DBDC6D4" w14:textId="77777777" w:rsidR="004A0A4F" w:rsidRPr="004A0A4F" w:rsidRDefault="004A0A4F" w:rsidP="004A0A4F">
      <w:pPr>
        <w:numPr>
          <w:ilvl w:val="0"/>
          <w:numId w:val="4"/>
        </w:numPr>
        <w:rPr>
          <w:sz w:val="22"/>
          <w:szCs w:val="22"/>
        </w:rPr>
      </w:pPr>
      <w:r w:rsidRPr="004A0A4F">
        <w:rPr>
          <w:sz w:val="22"/>
          <w:szCs w:val="22"/>
        </w:rPr>
        <w:t>Reimbursement for expenses is not provided.</w:t>
      </w:r>
    </w:p>
    <w:p w14:paraId="248197DF" w14:textId="77777777" w:rsidR="004A0A4F" w:rsidRPr="004A0A4F" w:rsidRDefault="004A0A4F" w:rsidP="004A0A4F">
      <w:pPr>
        <w:rPr>
          <w:sz w:val="22"/>
          <w:szCs w:val="22"/>
        </w:rPr>
      </w:pPr>
    </w:p>
    <w:p w14:paraId="1AAC0C5F" w14:textId="77777777" w:rsidR="004A0A4F" w:rsidRPr="004A0A4F" w:rsidRDefault="004A0A4F" w:rsidP="004A0A4F">
      <w:pPr>
        <w:rPr>
          <w:i/>
          <w:iCs/>
          <w:sz w:val="22"/>
          <w:szCs w:val="22"/>
        </w:rPr>
      </w:pPr>
      <w:r w:rsidRPr="004A0A4F">
        <w:rPr>
          <w:i/>
          <w:iCs/>
          <w:sz w:val="22"/>
          <w:szCs w:val="22"/>
        </w:rPr>
        <w:t>Non-Physiatrist</w:t>
      </w:r>
    </w:p>
    <w:p w14:paraId="5563617E" w14:textId="77777777" w:rsidR="004A0A4F" w:rsidRPr="004A0A4F" w:rsidRDefault="004A0A4F" w:rsidP="004A0A4F">
      <w:pPr>
        <w:numPr>
          <w:ilvl w:val="0"/>
          <w:numId w:val="2"/>
        </w:numPr>
        <w:rPr>
          <w:sz w:val="22"/>
          <w:szCs w:val="22"/>
        </w:rPr>
      </w:pPr>
      <w:r w:rsidRPr="004A0A4F">
        <w:rPr>
          <w:sz w:val="22"/>
          <w:szCs w:val="22"/>
        </w:rPr>
        <w:t xml:space="preserve">Hotel accommodation that is commensurate with participation as faculty during the activity. </w:t>
      </w:r>
    </w:p>
    <w:p w14:paraId="609FF577" w14:textId="77777777" w:rsidR="004A0A4F" w:rsidRPr="004A0A4F" w:rsidRDefault="004A0A4F" w:rsidP="004A0A4F">
      <w:pPr>
        <w:numPr>
          <w:ilvl w:val="0"/>
          <w:numId w:val="2"/>
        </w:numPr>
        <w:rPr>
          <w:sz w:val="22"/>
          <w:szCs w:val="22"/>
        </w:rPr>
      </w:pPr>
      <w:r w:rsidRPr="004A0A4F">
        <w:rPr>
          <w:sz w:val="22"/>
          <w:szCs w:val="22"/>
        </w:rPr>
        <w:t>Up to $70/day reimbursement for meals and tips (receipts must be submitted)</w:t>
      </w:r>
    </w:p>
    <w:p w14:paraId="7398B623" w14:textId="77777777" w:rsidR="004A0A4F" w:rsidRPr="004A0A4F" w:rsidRDefault="004A0A4F" w:rsidP="004A0A4F">
      <w:pPr>
        <w:numPr>
          <w:ilvl w:val="0"/>
          <w:numId w:val="2"/>
        </w:numPr>
        <w:rPr>
          <w:sz w:val="22"/>
          <w:szCs w:val="22"/>
        </w:rPr>
      </w:pPr>
      <w:r w:rsidRPr="004A0A4F">
        <w:rPr>
          <w:sz w:val="22"/>
          <w:szCs w:val="22"/>
        </w:rPr>
        <w:t>Up to $160 total reimbursement for ground transportation (receipts must be submitted)</w:t>
      </w:r>
    </w:p>
    <w:p w14:paraId="5D9277F7" w14:textId="77777777" w:rsidR="004A0A4F" w:rsidRDefault="004A0A4F" w:rsidP="004A0A4F">
      <w:pPr>
        <w:numPr>
          <w:ilvl w:val="0"/>
          <w:numId w:val="2"/>
        </w:numPr>
        <w:rPr>
          <w:sz w:val="22"/>
          <w:szCs w:val="22"/>
        </w:rPr>
      </w:pPr>
      <w:r w:rsidRPr="004A0A4F">
        <w:rPr>
          <w:sz w:val="22"/>
          <w:szCs w:val="22"/>
        </w:rPr>
        <w:t>Airfare/mileage will be reimbursed (maximum airfare dollar amount to be provided in faculty letter and car mileage based on prevailing government rate)</w:t>
      </w:r>
    </w:p>
    <w:p w14:paraId="480C6EC7" w14:textId="571137BD" w:rsidR="00131763" w:rsidRDefault="004A0A4F" w:rsidP="004A0A4F">
      <w:pPr>
        <w:numPr>
          <w:ilvl w:val="0"/>
          <w:numId w:val="2"/>
        </w:numPr>
        <w:rPr>
          <w:sz w:val="22"/>
          <w:szCs w:val="22"/>
        </w:rPr>
      </w:pPr>
      <w:r w:rsidRPr="004A0A4F">
        <w:rPr>
          <w:sz w:val="22"/>
          <w:szCs w:val="22"/>
        </w:rPr>
        <w:t>Waived registration for Annual Assembly</w:t>
      </w:r>
    </w:p>
    <w:p w14:paraId="4A9434E9" w14:textId="32BEB406" w:rsidR="004A0A4F" w:rsidRDefault="004A0A4F" w:rsidP="004A0A4F">
      <w:pPr>
        <w:rPr>
          <w:sz w:val="22"/>
          <w:szCs w:val="22"/>
        </w:rPr>
      </w:pPr>
    </w:p>
    <w:p w14:paraId="66CA1565" w14:textId="77777777" w:rsidR="004A0A4F" w:rsidRPr="002760DC" w:rsidRDefault="004A0A4F" w:rsidP="004A0A4F">
      <w:pPr>
        <w:jc w:val="right"/>
        <w:rPr>
          <w:i/>
        </w:rPr>
      </w:pPr>
      <w:r w:rsidRPr="002760DC">
        <w:rPr>
          <w:i/>
        </w:rPr>
        <w:t>Reviewed January 2017 by CME Committee</w:t>
      </w:r>
    </w:p>
    <w:p w14:paraId="71A3A53F" w14:textId="77777777" w:rsidR="004A0A4F" w:rsidRPr="002760DC" w:rsidRDefault="004A0A4F" w:rsidP="004A0A4F">
      <w:pPr>
        <w:jc w:val="right"/>
        <w:rPr>
          <w:i/>
        </w:rPr>
      </w:pPr>
      <w:r w:rsidRPr="002760DC">
        <w:rPr>
          <w:i/>
        </w:rPr>
        <w:t>Approved February 2017 by Board of Governors</w:t>
      </w:r>
    </w:p>
    <w:p w14:paraId="590D1ACD" w14:textId="77777777" w:rsidR="004A0A4F" w:rsidRPr="004A0A4F" w:rsidRDefault="004A0A4F" w:rsidP="004A0A4F">
      <w:pPr>
        <w:rPr>
          <w:sz w:val="22"/>
          <w:szCs w:val="22"/>
        </w:rPr>
      </w:pPr>
      <w:bookmarkStart w:id="0" w:name="_GoBack"/>
      <w:bookmarkEnd w:id="0"/>
    </w:p>
    <w:sectPr w:rsidR="004A0A4F" w:rsidRPr="004A0A4F" w:rsidSect="00E378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1FE4F" w14:textId="77777777" w:rsidR="00F7202C" w:rsidRDefault="00F7202C">
      <w:r>
        <w:separator/>
      </w:r>
    </w:p>
  </w:endnote>
  <w:endnote w:type="continuationSeparator" w:id="0">
    <w:p w14:paraId="78B152F0" w14:textId="77777777" w:rsidR="00F7202C" w:rsidRDefault="00F7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AB55B" w14:textId="77777777" w:rsidR="00F7202C" w:rsidRDefault="00F7202C">
      <w:r>
        <w:separator/>
      </w:r>
    </w:p>
  </w:footnote>
  <w:footnote w:type="continuationSeparator" w:id="0">
    <w:p w14:paraId="52507563" w14:textId="77777777" w:rsidR="00F7202C" w:rsidRDefault="00F72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3C3E"/>
    <w:multiLevelType w:val="hybridMultilevel"/>
    <w:tmpl w:val="BE16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80292"/>
    <w:multiLevelType w:val="hybridMultilevel"/>
    <w:tmpl w:val="9F88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64CF4"/>
    <w:multiLevelType w:val="hybridMultilevel"/>
    <w:tmpl w:val="36CC9C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769D5"/>
    <w:multiLevelType w:val="hybridMultilevel"/>
    <w:tmpl w:val="E20EE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A01F0E"/>
    <w:multiLevelType w:val="hybridMultilevel"/>
    <w:tmpl w:val="35CE8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74102"/>
    <w:multiLevelType w:val="hybridMultilevel"/>
    <w:tmpl w:val="434C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0D"/>
    <w:rsid w:val="00027A68"/>
    <w:rsid w:val="000661D2"/>
    <w:rsid w:val="00073B76"/>
    <w:rsid w:val="000D6C11"/>
    <w:rsid w:val="00131627"/>
    <w:rsid w:val="00131763"/>
    <w:rsid w:val="00132651"/>
    <w:rsid w:val="00145B50"/>
    <w:rsid w:val="00167492"/>
    <w:rsid w:val="0016750D"/>
    <w:rsid w:val="00190082"/>
    <w:rsid w:val="001A326F"/>
    <w:rsid w:val="001B27F5"/>
    <w:rsid w:val="001B62EE"/>
    <w:rsid w:val="001F7B45"/>
    <w:rsid w:val="00247572"/>
    <w:rsid w:val="00261FC5"/>
    <w:rsid w:val="002A26F3"/>
    <w:rsid w:val="002D5568"/>
    <w:rsid w:val="002F59D0"/>
    <w:rsid w:val="00305D8B"/>
    <w:rsid w:val="003600A7"/>
    <w:rsid w:val="00382FCF"/>
    <w:rsid w:val="0038683E"/>
    <w:rsid w:val="00392AF3"/>
    <w:rsid w:val="00422418"/>
    <w:rsid w:val="004603F5"/>
    <w:rsid w:val="004A0A4F"/>
    <w:rsid w:val="004C03DF"/>
    <w:rsid w:val="004C781C"/>
    <w:rsid w:val="00506B29"/>
    <w:rsid w:val="00520F93"/>
    <w:rsid w:val="0057219D"/>
    <w:rsid w:val="00582D2A"/>
    <w:rsid w:val="005F70F6"/>
    <w:rsid w:val="00672DD3"/>
    <w:rsid w:val="0067762D"/>
    <w:rsid w:val="00683D55"/>
    <w:rsid w:val="006861A1"/>
    <w:rsid w:val="006B5C61"/>
    <w:rsid w:val="006B5EFB"/>
    <w:rsid w:val="006C1CAE"/>
    <w:rsid w:val="006D09C1"/>
    <w:rsid w:val="0070553B"/>
    <w:rsid w:val="007368A4"/>
    <w:rsid w:val="00747331"/>
    <w:rsid w:val="00753063"/>
    <w:rsid w:val="00780EB9"/>
    <w:rsid w:val="00781A32"/>
    <w:rsid w:val="00792470"/>
    <w:rsid w:val="007A3D98"/>
    <w:rsid w:val="007B120F"/>
    <w:rsid w:val="007F4F8E"/>
    <w:rsid w:val="00842656"/>
    <w:rsid w:val="00880DAB"/>
    <w:rsid w:val="00887E93"/>
    <w:rsid w:val="009424D7"/>
    <w:rsid w:val="009604AC"/>
    <w:rsid w:val="00972B4F"/>
    <w:rsid w:val="00992D96"/>
    <w:rsid w:val="009C33F3"/>
    <w:rsid w:val="009C4FBF"/>
    <w:rsid w:val="009C7279"/>
    <w:rsid w:val="009E0B31"/>
    <w:rsid w:val="00A01249"/>
    <w:rsid w:val="00A719A4"/>
    <w:rsid w:val="00A742FF"/>
    <w:rsid w:val="00B162DF"/>
    <w:rsid w:val="00B43D33"/>
    <w:rsid w:val="00B61177"/>
    <w:rsid w:val="00B6374C"/>
    <w:rsid w:val="00BB0D8C"/>
    <w:rsid w:val="00BF61CF"/>
    <w:rsid w:val="00C01DB8"/>
    <w:rsid w:val="00C34BB3"/>
    <w:rsid w:val="00C43CAC"/>
    <w:rsid w:val="00C442A5"/>
    <w:rsid w:val="00C55C0D"/>
    <w:rsid w:val="00C8343E"/>
    <w:rsid w:val="00CA1B23"/>
    <w:rsid w:val="00CD03D3"/>
    <w:rsid w:val="00CE6A3B"/>
    <w:rsid w:val="00CF0CEC"/>
    <w:rsid w:val="00D01E27"/>
    <w:rsid w:val="00DB2A67"/>
    <w:rsid w:val="00E378A6"/>
    <w:rsid w:val="00E4151A"/>
    <w:rsid w:val="00E9094D"/>
    <w:rsid w:val="00E97656"/>
    <w:rsid w:val="00EC5790"/>
    <w:rsid w:val="00ED039A"/>
    <w:rsid w:val="00EF4C26"/>
    <w:rsid w:val="00F56476"/>
    <w:rsid w:val="00F7202C"/>
    <w:rsid w:val="00F87EEC"/>
    <w:rsid w:val="00F94723"/>
    <w:rsid w:val="00FC6D3D"/>
    <w:rsid w:val="00FF1AE6"/>
    <w:rsid w:val="10131D17"/>
    <w:rsid w:val="290F84D4"/>
    <w:rsid w:val="3270413B"/>
    <w:rsid w:val="5231485C"/>
    <w:rsid w:val="7B5FF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8AC8778"/>
  <w15:chartTrackingRefBased/>
  <w15:docId w15:val="{77B31727-0822-434B-A425-8134849C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675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553B"/>
    <w:pPr>
      <w:tabs>
        <w:tab w:val="center" w:pos="4320"/>
        <w:tab w:val="right" w:pos="8640"/>
      </w:tabs>
    </w:pPr>
  </w:style>
  <w:style w:type="paragraph" w:styleId="Footer">
    <w:name w:val="footer"/>
    <w:basedOn w:val="Normal"/>
    <w:rsid w:val="0070553B"/>
    <w:pPr>
      <w:tabs>
        <w:tab w:val="center" w:pos="4320"/>
        <w:tab w:val="right" w:pos="8640"/>
      </w:tabs>
    </w:pPr>
  </w:style>
  <w:style w:type="paragraph" w:styleId="BalloonText">
    <w:name w:val="Balloon Text"/>
    <w:basedOn w:val="Normal"/>
    <w:link w:val="BalloonTextChar"/>
    <w:rsid w:val="00BB0D8C"/>
    <w:rPr>
      <w:rFonts w:ascii="Tahoma" w:hAnsi="Tahoma" w:cs="Tahoma"/>
      <w:sz w:val="16"/>
      <w:szCs w:val="16"/>
    </w:rPr>
  </w:style>
  <w:style w:type="character" w:customStyle="1" w:styleId="BalloonTextChar">
    <w:name w:val="Balloon Text Char"/>
    <w:link w:val="BalloonText"/>
    <w:rsid w:val="00BB0D8C"/>
    <w:rPr>
      <w:rFonts w:ascii="Tahoma" w:hAnsi="Tahoma" w:cs="Tahoma"/>
      <w:sz w:val="16"/>
      <w:szCs w:val="16"/>
    </w:rPr>
  </w:style>
  <w:style w:type="character" w:styleId="Hyperlink">
    <w:name w:val="Hyperlink"/>
    <w:rsid w:val="00190082"/>
    <w:rPr>
      <w:color w:val="0000FF"/>
      <w:u w:val="single"/>
    </w:rPr>
  </w:style>
  <w:style w:type="paragraph" w:styleId="ListParagraph">
    <w:name w:val="List Paragraph"/>
    <w:basedOn w:val="Normal"/>
    <w:uiPriority w:val="34"/>
    <w:qFormat/>
    <w:rsid w:val="00131763"/>
    <w:pPr>
      <w:ind w:left="720"/>
      <w:contextualSpacing/>
    </w:pPr>
  </w:style>
  <w:style w:type="character" w:styleId="CommentReference">
    <w:name w:val="annotation reference"/>
    <w:basedOn w:val="DefaultParagraphFont"/>
    <w:rsid w:val="00880DAB"/>
    <w:rPr>
      <w:sz w:val="16"/>
      <w:szCs w:val="16"/>
    </w:rPr>
  </w:style>
  <w:style w:type="paragraph" w:styleId="CommentText">
    <w:name w:val="annotation text"/>
    <w:basedOn w:val="Normal"/>
    <w:link w:val="CommentTextChar"/>
    <w:rsid w:val="00880DAB"/>
    <w:rPr>
      <w:sz w:val="20"/>
      <w:szCs w:val="20"/>
    </w:rPr>
  </w:style>
  <w:style w:type="character" w:customStyle="1" w:styleId="CommentTextChar">
    <w:name w:val="Comment Text Char"/>
    <w:basedOn w:val="DefaultParagraphFont"/>
    <w:link w:val="CommentText"/>
    <w:rsid w:val="00880DAB"/>
  </w:style>
  <w:style w:type="paragraph" w:styleId="CommentSubject">
    <w:name w:val="annotation subject"/>
    <w:basedOn w:val="CommentText"/>
    <w:next w:val="CommentText"/>
    <w:link w:val="CommentSubjectChar"/>
    <w:rsid w:val="00880DAB"/>
    <w:rPr>
      <w:b/>
      <w:bCs/>
    </w:rPr>
  </w:style>
  <w:style w:type="character" w:customStyle="1" w:styleId="CommentSubjectChar">
    <w:name w:val="Comment Subject Char"/>
    <w:basedOn w:val="CommentTextChar"/>
    <w:link w:val="CommentSubject"/>
    <w:rsid w:val="00880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EC13-811D-4053-BD4E-18DCB3F6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646</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vt:lpstr>
    </vt:vector>
  </TitlesOfParts>
  <Company>ASGE</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jbethke</dc:creator>
  <cp:keywords/>
  <cp:lastModifiedBy>Brian Thompson</cp:lastModifiedBy>
  <cp:revision>19</cp:revision>
  <cp:lastPrinted>2014-04-24T16:16:00Z</cp:lastPrinted>
  <dcterms:created xsi:type="dcterms:W3CDTF">2016-12-13T22:39:00Z</dcterms:created>
  <dcterms:modified xsi:type="dcterms:W3CDTF">2017-02-28T19:30:00Z</dcterms:modified>
</cp:coreProperties>
</file>