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373F1" w14:textId="3BC1749F" w:rsidR="00C964C7" w:rsidRPr="00DC057F" w:rsidRDefault="00C964C7" w:rsidP="009D2CB2">
      <w:pPr>
        <w:jc w:val="center"/>
        <w:rPr>
          <w:rFonts w:cstheme="minorHAnsi"/>
          <w:b/>
          <w:bCs/>
          <w:sz w:val="22"/>
          <w:szCs w:val="22"/>
          <w:u w:val="single"/>
        </w:rPr>
      </w:pPr>
      <w:r w:rsidRPr="00DC057F">
        <w:rPr>
          <w:rFonts w:cstheme="minorHAnsi"/>
          <w:b/>
          <w:bCs/>
          <w:sz w:val="22"/>
          <w:szCs w:val="22"/>
          <w:u w:val="single"/>
        </w:rPr>
        <w:t>MIPS Value Pathways</w:t>
      </w:r>
      <w:r w:rsidR="008872B6">
        <w:rPr>
          <w:rFonts w:cstheme="minorHAnsi"/>
          <w:b/>
          <w:bCs/>
          <w:sz w:val="22"/>
          <w:szCs w:val="22"/>
          <w:u w:val="single"/>
        </w:rPr>
        <w:t xml:space="preserve"> (MVPs)</w:t>
      </w:r>
    </w:p>
    <w:p w14:paraId="419FEB75" w14:textId="2F18BF79" w:rsidR="00C964C7" w:rsidRPr="00DC057F" w:rsidRDefault="00C964C7" w:rsidP="009D2CB2">
      <w:pPr>
        <w:rPr>
          <w:rFonts w:cstheme="minorHAnsi"/>
          <w:sz w:val="22"/>
          <w:szCs w:val="22"/>
        </w:rPr>
      </w:pPr>
    </w:p>
    <w:p w14:paraId="15B5CC5A" w14:textId="2CB79E1C" w:rsidR="00DF4237" w:rsidRPr="00DC057F" w:rsidRDefault="00C964C7" w:rsidP="009D2CB2">
      <w:pPr>
        <w:shd w:val="clear" w:color="auto" w:fill="FFFFFF" w:themeFill="background1"/>
        <w:rPr>
          <w:rFonts w:cstheme="minorHAnsi"/>
          <w:color w:val="1B1B1B"/>
          <w:sz w:val="22"/>
          <w:szCs w:val="22"/>
          <w:shd w:val="clear" w:color="auto" w:fill="FFFFFF"/>
        </w:rPr>
      </w:pPr>
      <w:r w:rsidRPr="00DC057F">
        <w:rPr>
          <w:rFonts w:cstheme="minorHAnsi"/>
          <w:color w:val="1B1B1B"/>
          <w:sz w:val="22"/>
          <w:szCs w:val="22"/>
          <w:shd w:val="clear" w:color="auto" w:fill="FFFFFF"/>
        </w:rPr>
        <w:t xml:space="preserve">Starting </w:t>
      </w:r>
      <w:r w:rsidR="00200F31">
        <w:rPr>
          <w:rFonts w:cstheme="minorHAnsi"/>
          <w:color w:val="1B1B1B"/>
          <w:sz w:val="22"/>
          <w:szCs w:val="22"/>
          <w:shd w:val="clear" w:color="auto" w:fill="FFFFFF"/>
        </w:rPr>
        <w:t>with performance year</w:t>
      </w:r>
      <w:r w:rsidR="00200F31" w:rsidRPr="00DC057F">
        <w:rPr>
          <w:rFonts w:cstheme="minorHAnsi"/>
          <w:color w:val="1B1B1B"/>
          <w:sz w:val="22"/>
          <w:szCs w:val="22"/>
          <w:shd w:val="clear" w:color="auto" w:fill="FFFFFF"/>
        </w:rPr>
        <w:t xml:space="preserve"> </w:t>
      </w:r>
      <w:r w:rsidRPr="00DC057F">
        <w:rPr>
          <w:rFonts w:cstheme="minorHAnsi"/>
          <w:color w:val="1B1B1B"/>
          <w:sz w:val="22"/>
          <w:szCs w:val="22"/>
          <w:shd w:val="clear" w:color="auto" w:fill="FFFFFF"/>
        </w:rPr>
        <w:t>2023, MIPS eligible clinicians, group practices (</w:t>
      </w:r>
      <w:r w:rsidR="0040241A" w:rsidRPr="00DC057F">
        <w:rPr>
          <w:rFonts w:cstheme="minorHAnsi"/>
          <w:color w:val="1B1B1B"/>
          <w:sz w:val="22"/>
          <w:szCs w:val="22"/>
          <w:shd w:val="clear" w:color="auto" w:fill="FFFFFF"/>
        </w:rPr>
        <w:t xml:space="preserve">i.e., </w:t>
      </w:r>
      <w:r w:rsidR="0040241A" w:rsidRPr="00DC057F">
        <w:rPr>
          <w:rFonts w:cstheme="minorHAnsi"/>
          <w:sz w:val="22"/>
          <w:szCs w:val="22"/>
        </w:rPr>
        <w:t>Taxpayer Identification Number</w:t>
      </w:r>
      <w:r w:rsidR="0040241A" w:rsidRPr="00DC057F">
        <w:rPr>
          <w:rFonts w:cstheme="minorHAnsi"/>
          <w:color w:val="1B1B1B"/>
          <w:sz w:val="22"/>
          <w:szCs w:val="22"/>
          <w:shd w:val="clear" w:color="auto" w:fill="FFFFFF"/>
        </w:rPr>
        <w:t xml:space="preserve"> or </w:t>
      </w:r>
      <w:r w:rsidRPr="00DC057F">
        <w:rPr>
          <w:rFonts w:cstheme="minorHAnsi"/>
          <w:color w:val="1B1B1B"/>
          <w:sz w:val="22"/>
          <w:szCs w:val="22"/>
          <w:shd w:val="clear" w:color="auto" w:fill="FFFFFF"/>
        </w:rPr>
        <w:t xml:space="preserve">TIN), subgroups of TINs and APM Entities have the option to participate in the Merit-Based Incentive Payment System (MIPS) under a new framework known as MIPS Value Pathways or MVPs. MVPs are intended to streamline the MIPS participation experience by connecting activities and measures across the four MIPS performance categories that are relevant to a specific specialty, condition or population. </w:t>
      </w:r>
      <w:r w:rsidR="00DF4237" w:rsidRPr="00DC057F">
        <w:rPr>
          <w:rFonts w:cstheme="minorHAnsi"/>
          <w:color w:val="1B1B1B"/>
          <w:sz w:val="22"/>
          <w:szCs w:val="22"/>
          <w:shd w:val="clear" w:color="auto" w:fill="FFFFFF"/>
        </w:rPr>
        <w:t xml:space="preserve"> </w:t>
      </w:r>
    </w:p>
    <w:p w14:paraId="0CC792D1" w14:textId="77777777" w:rsidR="009D2CB2" w:rsidRDefault="009D2CB2" w:rsidP="009D2CB2">
      <w:pPr>
        <w:shd w:val="clear" w:color="auto" w:fill="FFFFFF" w:themeFill="background1"/>
        <w:rPr>
          <w:rFonts w:cstheme="minorHAnsi"/>
          <w:b/>
          <w:bCs/>
          <w:color w:val="1B1B1B"/>
          <w:sz w:val="22"/>
          <w:szCs w:val="22"/>
          <w:shd w:val="clear" w:color="auto" w:fill="FFFFFF"/>
        </w:rPr>
      </w:pPr>
    </w:p>
    <w:p w14:paraId="53C98690" w14:textId="25B0DAD3" w:rsidR="00C964C7" w:rsidRPr="009D2CB2" w:rsidRDefault="00C964C7" w:rsidP="009D2CB2">
      <w:pPr>
        <w:shd w:val="clear" w:color="auto" w:fill="FFFFFF" w:themeFill="background1"/>
        <w:rPr>
          <w:rFonts w:cstheme="minorHAnsi"/>
          <w:i/>
          <w:iCs/>
          <w:color w:val="1B1B1B"/>
          <w:sz w:val="22"/>
          <w:szCs w:val="22"/>
          <w:shd w:val="clear" w:color="auto" w:fill="FFFFFF"/>
        </w:rPr>
      </w:pPr>
      <w:r w:rsidRPr="009D2CB2">
        <w:rPr>
          <w:rFonts w:cstheme="minorHAnsi"/>
          <w:b/>
          <w:bCs/>
          <w:i/>
          <w:iCs/>
          <w:color w:val="1B1B1B"/>
          <w:sz w:val="22"/>
          <w:szCs w:val="22"/>
          <w:shd w:val="clear" w:color="auto" w:fill="FFFFFF"/>
        </w:rPr>
        <w:t>What MVPs are Available This Year?</w:t>
      </w:r>
    </w:p>
    <w:p w14:paraId="48140719" w14:textId="23866C5E" w:rsidR="00C964C7" w:rsidRPr="00DC057F" w:rsidRDefault="00C964C7" w:rsidP="009D2CB2">
      <w:pPr>
        <w:shd w:val="clear" w:color="auto" w:fill="FFFFFF" w:themeFill="background1"/>
        <w:rPr>
          <w:rFonts w:cstheme="minorHAnsi"/>
          <w:color w:val="1B1B1B"/>
          <w:sz w:val="22"/>
          <w:szCs w:val="22"/>
          <w:shd w:val="clear" w:color="auto" w:fill="FFFFFF"/>
        </w:rPr>
      </w:pPr>
      <w:r w:rsidRPr="00DC057F">
        <w:rPr>
          <w:rFonts w:cstheme="minorHAnsi"/>
          <w:sz w:val="22"/>
          <w:szCs w:val="22"/>
        </w:rPr>
        <w:t>For 202</w:t>
      </w:r>
      <w:r w:rsidR="00B5689C">
        <w:rPr>
          <w:rFonts w:cstheme="minorHAnsi"/>
          <w:sz w:val="22"/>
          <w:szCs w:val="22"/>
        </w:rPr>
        <w:t>4</w:t>
      </w:r>
      <w:r w:rsidRPr="00DC057F">
        <w:rPr>
          <w:rFonts w:cstheme="minorHAnsi"/>
          <w:sz w:val="22"/>
          <w:szCs w:val="22"/>
        </w:rPr>
        <w:t xml:space="preserve">, </w:t>
      </w:r>
      <w:r w:rsidR="00DF4237" w:rsidRPr="00DC057F">
        <w:rPr>
          <w:rFonts w:cstheme="minorHAnsi"/>
          <w:sz w:val="22"/>
          <w:szCs w:val="22"/>
        </w:rPr>
        <w:t>MIPS participants may choose from</w:t>
      </w:r>
      <w:r w:rsidRPr="00DC057F">
        <w:rPr>
          <w:rFonts w:cstheme="minorHAnsi"/>
          <w:sz w:val="22"/>
          <w:szCs w:val="22"/>
        </w:rPr>
        <w:t xml:space="preserve"> 1</w:t>
      </w:r>
      <w:r w:rsidR="00B5689C">
        <w:rPr>
          <w:rFonts w:cstheme="minorHAnsi"/>
          <w:sz w:val="22"/>
          <w:szCs w:val="22"/>
        </w:rPr>
        <w:t>6</w:t>
      </w:r>
      <w:r w:rsidRPr="00DC057F">
        <w:rPr>
          <w:rFonts w:cstheme="minorHAnsi"/>
          <w:sz w:val="22"/>
          <w:szCs w:val="22"/>
        </w:rPr>
        <w:t xml:space="preserve"> MVPs, which are listed </w:t>
      </w:r>
      <w:r w:rsidR="00DC057F">
        <w:rPr>
          <w:rFonts w:cstheme="minorHAnsi"/>
          <w:sz w:val="22"/>
          <w:szCs w:val="22"/>
        </w:rPr>
        <w:t xml:space="preserve">in the table </w:t>
      </w:r>
      <w:r w:rsidRPr="00DC057F">
        <w:rPr>
          <w:rFonts w:cstheme="minorHAnsi"/>
          <w:sz w:val="22"/>
          <w:szCs w:val="22"/>
        </w:rPr>
        <w:t xml:space="preserve">below. CMS continues to work with specialties to develop additional MVPs for future implementation.   </w:t>
      </w:r>
    </w:p>
    <w:p w14:paraId="0050404C" w14:textId="77777777" w:rsidR="00C964C7" w:rsidRPr="00DC057F" w:rsidRDefault="00C964C7" w:rsidP="009D2CB2">
      <w:pPr>
        <w:shd w:val="clear" w:color="auto" w:fill="FFFFFF" w:themeFill="background1"/>
        <w:rPr>
          <w:rFonts w:cstheme="minorHAnsi"/>
          <w:color w:val="1B1B1B"/>
          <w:sz w:val="22"/>
          <w:szCs w:val="22"/>
          <w:shd w:val="clear" w:color="auto" w:fill="FFFFFF"/>
        </w:rPr>
      </w:pPr>
    </w:p>
    <w:tbl>
      <w:tblPr>
        <w:tblStyle w:val="TableGrid"/>
        <w:tblW w:w="0" w:type="auto"/>
        <w:jc w:val="center"/>
        <w:tblLook w:val="04A0" w:firstRow="1" w:lastRow="0" w:firstColumn="1" w:lastColumn="0" w:noHBand="0" w:noVBand="1"/>
      </w:tblPr>
      <w:tblGrid>
        <w:gridCol w:w="2736"/>
        <w:gridCol w:w="2736"/>
        <w:gridCol w:w="2736"/>
      </w:tblGrid>
      <w:tr w:rsidR="00C964C7" w:rsidRPr="00DC057F" w14:paraId="43D89006" w14:textId="77777777" w:rsidTr="00D86D05">
        <w:trPr>
          <w:jc w:val="center"/>
        </w:trPr>
        <w:tc>
          <w:tcPr>
            <w:tcW w:w="8208" w:type="dxa"/>
            <w:gridSpan w:val="3"/>
            <w:vAlign w:val="center"/>
          </w:tcPr>
          <w:p w14:paraId="16CCA4BC" w14:textId="262763D7" w:rsidR="00C964C7" w:rsidRPr="00DC057F" w:rsidRDefault="00C964C7" w:rsidP="009D2CB2">
            <w:pPr>
              <w:jc w:val="center"/>
              <w:rPr>
                <w:rFonts w:cstheme="minorHAnsi"/>
                <w:b/>
                <w:bCs/>
                <w:color w:val="242424"/>
                <w:shd w:val="clear" w:color="auto" w:fill="FFFFFF"/>
              </w:rPr>
            </w:pPr>
            <w:r w:rsidRPr="00DC057F">
              <w:rPr>
                <w:rFonts w:cstheme="minorHAnsi"/>
                <w:b/>
                <w:bCs/>
                <w:color w:val="242424"/>
                <w:shd w:val="clear" w:color="auto" w:fill="FFFFFF"/>
              </w:rPr>
              <w:t>MVPs Available for Reporting in 202</w:t>
            </w:r>
            <w:r w:rsidR="00B5689C">
              <w:rPr>
                <w:rFonts w:cstheme="minorHAnsi"/>
                <w:b/>
                <w:bCs/>
                <w:color w:val="242424"/>
                <w:shd w:val="clear" w:color="auto" w:fill="FFFFFF"/>
              </w:rPr>
              <w:t>4</w:t>
            </w:r>
          </w:p>
        </w:tc>
      </w:tr>
      <w:tr w:rsidR="00C964C7" w:rsidRPr="00DC057F" w14:paraId="3AA1F387" w14:textId="77777777" w:rsidTr="00C964C7">
        <w:trPr>
          <w:jc w:val="center"/>
        </w:trPr>
        <w:tc>
          <w:tcPr>
            <w:tcW w:w="2736" w:type="dxa"/>
            <w:vAlign w:val="center"/>
          </w:tcPr>
          <w:p w14:paraId="6619FF58" w14:textId="77777777" w:rsidR="00C964C7" w:rsidRPr="00DC057F" w:rsidRDefault="00C964C7" w:rsidP="009D2CB2">
            <w:pPr>
              <w:jc w:val="center"/>
              <w:rPr>
                <w:rFonts w:cstheme="minorHAnsi"/>
                <w:color w:val="242424"/>
                <w:shd w:val="clear" w:color="auto" w:fill="FFFFFF"/>
              </w:rPr>
            </w:pPr>
            <w:r w:rsidRPr="00DC057F">
              <w:rPr>
                <w:rFonts w:cstheme="minorHAnsi"/>
                <w:color w:val="242424"/>
                <w:shd w:val="clear" w:color="auto" w:fill="FFFFFF"/>
              </w:rPr>
              <w:t>Advancing Cancer Care</w:t>
            </w:r>
          </w:p>
        </w:tc>
        <w:tc>
          <w:tcPr>
            <w:tcW w:w="2736" w:type="dxa"/>
            <w:vAlign w:val="center"/>
          </w:tcPr>
          <w:p w14:paraId="0E65CE4E" w14:textId="77777777" w:rsidR="00C964C7" w:rsidRPr="00DC057F" w:rsidRDefault="00C964C7" w:rsidP="009D2CB2">
            <w:pPr>
              <w:jc w:val="center"/>
              <w:rPr>
                <w:rFonts w:cstheme="minorHAnsi"/>
                <w:color w:val="242424"/>
                <w:shd w:val="clear" w:color="auto" w:fill="FFFFFF"/>
              </w:rPr>
            </w:pPr>
            <w:r w:rsidRPr="00DC057F">
              <w:rPr>
                <w:rFonts w:cstheme="minorHAnsi"/>
                <w:color w:val="242424"/>
                <w:shd w:val="clear" w:color="auto" w:fill="FFFFFF"/>
              </w:rPr>
              <w:t>Optimal Care for Kidney Health</w:t>
            </w:r>
          </w:p>
        </w:tc>
        <w:tc>
          <w:tcPr>
            <w:tcW w:w="2736" w:type="dxa"/>
            <w:vAlign w:val="center"/>
          </w:tcPr>
          <w:p w14:paraId="72A8390F" w14:textId="77777777" w:rsidR="00C964C7" w:rsidRPr="00DC057F" w:rsidRDefault="00C964C7" w:rsidP="009D2CB2">
            <w:pPr>
              <w:jc w:val="center"/>
              <w:rPr>
                <w:rFonts w:cstheme="minorHAnsi"/>
                <w:color w:val="242424"/>
                <w:shd w:val="clear" w:color="auto" w:fill="FFFFFF"/>
              </w:rPr>
            </w:pPr>
            <w:r w:rsidRPr="00DC057F">
              <w:rPr>
                <w:rFonts w:cstheme="minorHAnsi"/>
                <w:color w:val="242424"/>
                <w:shd w:val="clear" w:color="auto" w:fill="FFFFFF"/>
              </w:rPr>
              <w:t>Optimal Care for Patients with Episodic Neurological Conditions</w:t>
            </w:r>
          </w:p>
        </w:tc>
      </w:tr>
      <w:tr w:rsidR="00C964C7" w:rsidRPr="00DC057F" w14:paraId="54F55D3E" w14:textId="77777777" w:rsidTr="00C964C7">
        <w:trPr>
          <w:jc w:val="center"/>
        </w:trPr>
        <w:tc>
          <w:tcPr>
            <w:tcW w:w="2736" w:type="dxa"/>
            <w:vAlign w:val="center"/>
          </w:tcPr>
          <w:p w14:paraId="72085E47" w14:textId="77777777" w:rsidR="00C964C7" w:rsidRPr="00DC057F" w:rsidRDefault="00C964C7" w:rsidP="009D2CB2">
            <w:pPr>
              <w:jc w:val="center"/>
              <w:rPr>
                <w:rFonts w:cstheme="minorHAnsi"/>
                <w:color w:val="242424"/>
                <w:shd w:val="clear" w:color="auto" w:fill="FFFFFF"/>
              </w:rPr>
            </w:pPr>
            <w:r w:rsidRPr="00DC057F">
              <w:rPr>
                <w:rFonts w:cstheme="minorHAnsi"/>
                <w:color w:val="242424"/>
                <w:shd w:val="clear" w:color="auto" w:fill="FFFFFF"/>
              </w:rPr>
              <w:t>Supportive Care for Neurodegenerative Conditions</w:t>
            </w:r>
          </w:p>
        </w:tc>
        <w:tc>
          <w:tcPr>
            <w:tcW w:w="2736" w:type="dxa"/>
            <w:vAlign w:val="center"/>
          </w:tcPr>
          <w:p w14:paraId="4615BAA3" w14:textId="65568A91" w:rsidR="00C964C7" w:rsidRPr="00DC057F" w:rsidRDefault="00B5689C" w:rsidP="009D2CB2">
            <w:pPr>
              <w:jc w:val="center"/>
              <w:rPr>
                <w:rFonts w:cstheme="minorHAnsi"/>
                <w:color w:val="242424"/>
                <w:shd w:val="clear" w:color="auto" w:fill="FFFFFF"/>
              </w:rPr>
            </w:pPr>
            <w:r>
              <w:rPr>
                <w:rFonts w:cstheme="minorHAnsi"/>
                <w:color w:val="242424"/>
                <w:shd w:val="clear" w:color="auto" w:fill="FFFFFF"/>
              </w:rPr>
              <w:t>Value in Primary Care</w:t>
            </w:r>
          </w:p>
        </w:tc>
        <w:tc>
          <w:tcPr>
            <w:tcW w:w="2736" w:type="dxa"/>
            <w:vAlign w:val="center"/>
          </w:tcPr>
          <w:p w14:paraId="4AA5C7F8" w14:textId="77777777" w:rsidR="00C964C7" w:rsidRPr="00DC057F" w:rsidRDefault="00C964C7" w:rsidP="009D2CB2">
            <w:pPr>
              <w:jc w:val="center"/>
              <w:rPr>
                <w:rFonts w:cstheme="minorHAnsi"/>
                <w:color w:val="242424"/>
                <w:shd w:val="clear" w:color="auto" w:fill="FFFFFF"/>
              </w:rPr>
            </w:pPr>
            <w:r w:rsidRPr="00DC057F">
              <w:rPr>
                <w:rFonts w:cstheme="minorHAnsi"/>
                <w:color w:val="242424"/>
                <w:shd w:val="clear" w:color="auto" w:fill="FFFFFF"/>
              </w:rPr>
              <w:t>Patient Safety and Support of Positive Experiences with Anesthesia</w:t>
            </w:r>
          </w:p>
        </w:tc>
      </w:tr>
      <w:tr w:rsidR="00C964C7" w:rsidRPr="00DC057F" w14:paraId="042E5745" w14:textId="77777777" w:rsidTr="00C964C7">
        <w:trPr>
          <w:jc w:val="center"/>
        </w:trPr>
        <w:tc>
          <w:tcPr>
            <w:tcW w:w="2736" w:type="dxa"/>
            <w:vAlign w:val="center"/>
          </w:tcPr>
          <w:p w14:paraId="6406FFCB" w14:textId="3BBB5950" w:rsidR="00C964C7" w:rsidRPr="00DC057F" w:rsidRDefault="00B5689C" w:rsidP="009D2CB2">
            <w:pPr>
              <w:jc w:val="center"/>
              <w:rPr>
                <w:rFonts w:cstheme="minorHAnsi"/>
                <w:color w:val="242424"/>
                <w:shd w:val="clear" w:color="auto" w:fill="FFFFFF"/>
              </w:rPr>
            </w:pPr>
            <w:r w:rsidRPr="00DC057F">
              <w:rPr>
                <w:rFonts w:cstheme="minorHAnsi"/>
                <w:color w:val="242424"/>
                <w:shd w:val="clear" w:color="auto" w:fill="FFFFFF"/>
              </w:rPr>
              <w:t>Adopting Best Practices and Promoting Patient Safety with Emergency Medicine</w:t>
            </w:r>
          </w:p>
        </w:tc>
        <w:tc>
          <w:tcPr>
            <w:tcW w:w="2736" w:type="dxa"/>
            <w:vAlign w:val="center"/>
          </w:tcPr>
          <w:p w14:paraId="7B8FFAA4" w14:textId="505B7BC5" w:rsidR="00C964C7" w:rsidRPr="00DC057F" w:rsidRDefault="00B5689C" w:rsidP="009D2CB2">
            <w:pPr>
              <w:jc w:val="center"/>
              <w:rPr>
                <w:rFonts w:cstheme="minorHAnsi"/>
                <w:color w:val="242424"/>
                <w:shd w:val="clear" w:color="auto" w:fill="FFFFFF"/>
              </w:rPr>
            </w:pPr>
            <w:r w:rsidRPr="00DC057F">
              <w:rPr>
                <w:rFonts w:cstheme="minorHAnsi"/>
                <w:color w:val="242424"/>
                <w:shd w:val="clear" w:color="auto" w:fill="FFFFFF"/>
              </w:rPr>
              <w:t>Improving Care for Lower Extremity Joint Repair</w:t>
            </w:r>
          </w:p>
        </w:tc>
        <w:tc>
          <w:tcPr>
            <w:tcW w:w="2736" w:type="dxa"/>
            <w:vAlign w:val="center"/>
          </w:tcPr>
          <w:p w14:paraId="5EBC985F" w14:textId="0280CE1F" w:rsidR="00C964C7" w:rsidRPr="00DC057F" w:rsidRDefault="00C964C7" w:rsidP="009D2CB2">
            <w:pPr>
              <w:jc w:val="center"/>
              <w:rPr>
                <w:rFonts w:cstheme="minorHAnsi"/>
                <w:color w:val="242424"/>
                <w:shd w:val="clear" w:color="auto" w:fill="FFFFFF"/>
              </w:rPr>
            </w:pPr>
            <w:r w:rsidRPr="00DC057F">
              <w:rPr>
                <w:rFonts w:cstheme="minorHAnsi"/>
                <w:color w:val="242424"/>
                <w:shd w:val="clear" w:color="auto" w:fill="FFFFFF"/>
              </w:rPr>
              <w:t>Advancing Care for Heart Disease</w:t>
            </w:r>
          </w:p>
        </w:tc>
      </w:tr>
      <w:tr w:rsidR="00C964C7" w:rsidRPr="00DC057F" w14:paraId="28ACA48D" w14:textId="77777777" w:rsidTr="00C964C7">
        <w:trPr>
          <w:jc w:val="center"/>
        </w:trPr>
        <w:tc>
          <w:tcPr>
            <w:tcW w:w="2736" w:type="dxa"/>
            <w:vAlign w:val="center"/>
          </w:tcPr>
          <w:p w14:paraId="00D6B4FB" w14:textId="51C879B3" w:rsidR="00C964C7" w:rsidRPr="00DC057F" w:rsidRDefault="00B5689C" w:rsidP="009D2CB2">
            <w:pPr>
              <w:jc w:val="center"/>
              <w:rPr>
                <w:rFonts w:cstheme="minorHAnsi"/>
                <w:color w:val="242424"/>
                <w:shd w:val="clear" w:color="auto" w:fill="FFFFFF"/>
              </w:rPr>
            </w:pPr>
            <w:r w:rsidRPr="00DC057F">
              <w:rPr>
                <w:rFonts w:cstheme="minorHAnsi"/>
                <w:color w:val="242424"/>
                <w:shd w:val="clear" w:color="auto" w:fill="FFFFFF"/>
              </w:rPr>
              <w:t>Coordinating Stroke Care to Promote Prevention and Cultivate Positive Outcomes</w:t>
            </w:r>
          </w:p>
        </w:tc>
        <w:tc>
          <w:tcPr>
            <w:tcW w:w="2736" w:type="dxa"/>
            <w:vAlign w:val="center"/>
          </w:tcPr>
          <w:p w14:paraId="47E9BC87" w14:textId="77777777" w:rsidR="00C964C7" w:rsidRPr="00DC057F" w:rsidRDefault="00C964C7" w:rsidP="009D2CB2">
            <w:pPr>
              <w:jc w:val="center"/>
              <w:rPr>
                <w:rFonts w:cstheme="minorHAnsi"/>
                <w:color w:val="242424"/>
                <w:shd w:val="clear" w:color="auto" w:fill="FFFFFF"/>
              </w:rPr>
            </w:pPr>
            <w:r w:rsidRPr="00DC057F">
              <w:rPr>
                <w:rFonts w:cstheme="minorHAnsi"/>
                <w:color w:val="242424"/>
                <w:shd w:val="clear" w:color="auto" w:fill="FFFFFF"/>
              </w:rPr>
              <w:t>Advancing Rheumatology Patient Care</w:t>
            </w:r>
          </w:p>
        </w:tc>
        <w:tc>
          <w:tcPr>
            <w:tcW w:w="2736" w:type="dxa"/>
            <w:vAlign w:val="center"/>
          </w:tcPr>
          <w:p w14:paraId="6CF25B7C" w14:textId="2D5FB8A6" w:rsidR="00C964C7" w:rsidRPr="00DC057F" w:rsidRDefault="00B5689C" w:rsidP="009D2CB2">
            <w:pPr>
              <w:jc w:val="center"/>
              <w:rPr>
                <w:rFonts w:cstheme="minorHAnsi"/>
                <w:color w:val="242424"/>
                <w:shd w:val="clear" w:color="auto" w:fill="FFFFFF"/>
              </w:rPr>
            </w:pPr>
            <w:r>
              <w:rPr>
                <w:rFonts w:cstheme="minorHAnsi"/>
                <w:color w:val="242424"/>
                <w:shd w:val="clear" w:color="auto" w:fill="FFFFFF"/>
              </w:rPr>
              <w:t>Focusing on Women’s Health</w:t>
            </w:r>
          </w:p>
        </w:tc>
      </w:tr>
      <w:tr w:rsidR="00B5689C" w:rsidRPr="00DC057F" w14:paraId="2520F15B" w14:textId="77777777" w:rsidTr="00C964C7">
        <w:trPr>
          <w:jc w:val="center"/>
        </w:trPr>
        <w:tc>
          <w:tcPr>
            <w:tcW w:w="2736" w:type="dxa"/>
            <w:vAlign w:val="center"/>
          </w:tcPr>
          <w:p w14:paraId="2FC990EC" w14:textId="2E374FD9" w:rsidR="00B5689C" w:rsidRPr="00DC057F" w:rsidRDefault="00B5689C" w:rsidP="009D2CB2">
            <w:pPr>
              <w:jc w:val="center"/>
              <w:rPr>
                <w:rFonts w:cstheme="minorHAnsi"/>
                <w:color w:val="242424"/>
                <w:shd w:val="clear" w:color="auto" w:fill="FFFFFF"/>
              </w:rPr>
            </w:pPr>
            <w:r>
              <w:rPr>
                <w:rFonts w:cstheme="minorHAnsi"/>
                <w:color w:val="242424"/>
                <w:shd w:val="clear" w:color="auto" w:fill="FFFFFF"/>
              </w:rPr>
              <w:t>Prevention and Treatment of Infectious Disorders Including Hep C and HIV</w:t>
            </w:r>
          </w:p>
        </w:tc>
        <w:tc>
          <w:tcPr>
            <w:tcW w:w="2736" w:type="dxa"/>
            <w:vAlign w:val="center"/>
          </w:tcPr>
          <w:p w14:paraId="62C98579" w14:textId="1B395A90" w:rsidR="00B5689C" w:rsidRPr="00DC057F" w:rsidRDefault="00B5689C" w:rsidP="009D2CB2">
            <w:pPr>
              <w:jc w:val="center"/>
              <w:rPr>
                <w:rFonts w:cstheme="minorHAnsi"/>
                <w:color w:val="242424"/>
                <w:shd w:val="clear" w:color="auto" w:fill="FFFFFF"/>
              </w:rPr>
            </w:pPr>
            <w:r>
              <w:rPr>
                <w:rFonts w:cstheme="minorHAnsi"/>
                <w:color w:val="242424"/>
                <w:shd w:val="clear" w:color="auto" w:fill="FFFFFF"/>
              </w:rPr>
              <w:t>Quality Care for the Treatment of Ear, Nose and Throat Disorders</w:t>
            </w:r>
          </w:p>
        </w:tc>
        <w:tc>
          <w:tcPr>
            <w:tcW w:w="2736" w:type="dxa"/>
            <w:vAlign w:val="center"/>
          </w:tcPr>
          <w:p w14:paraId="681267B1" w14:textId="0B9277D7" w:rsidR="00B5689C" w:rsidRDefault="00B5689C" w:rsidP="009D2CB2">
            <w:pPr>
              <w:jc w:val="center"/>
              <w:rPr>
                <w:rFonts w:cstheme="minorHAnsi"/>
                <w:color w:val="242424"/>
                <w:shd w:val="clear" w:color="auto" w:fill="FFFFFF"/>
              </w:rPr>
            </w:pPr>
            <w:r>
              <w:rPr>
                <w:rFonts w:cstheme="minorHAnsi"/>
                <w:color w:val="242424"/>
                <w:shd w:val="clear" w:color="auto" w:fill="FFFFFF"/>
              </w:rPr>
              <w:t>Quality Care in Mental Health and Substance Use Disorders</w:t>
            </w:r>
          </w:p>
        </w:tc>
      </w:tr>
      <w:tr w:rsidR="00B5689C" w:rsidRPr="00DC057F" w14:paraId="6A2C4982" w14:textId="77777777" w:rsidTr="00C964C7">
        <w:trPr>
          <w:jc w:val="center"/>
        </w:trPr>
        <w:tc>
          <w:tcPr>
            <w:tcW w:w="2736" w:type="dxa"/>
            <w:vAlign w:val="center"/>
          </w:tcPr>
          <w:p w14:paraId="2CC59126" w14:textId="30540508" w:rsidR="00B5689C" w:rsidRPr="00DC057F" w:rsidRDefault="00B5689C" w:rsidP="009D2CB2">
            <w:pPr>
              <w:jc w:val="center"/>
              <w:rPr>
                <w:rFonts w:cstheme="minorHAnsi"/>
                <w:color w:val="242424"/>
                <w:shd w:val="clear" w:color="auto" w:fill="FFFFFF"/>
              </w:rPr>
            </w:pPr>
            <w:r>
              <w:rPr>
                <w:rFonts w:cstheme="minorHAnsi"/>
                <w:color w:val="242424"/>
                <w:shd w:val="clear" w:color="auto" w:fill="FFFFFF"/>
              </w:rPr>
              <w:t>Rehabilitative Support for Musculoskeletal Care</w:t>
            </w:r>
          </w:p>
        </w:tc>
        <w:tc>
          <w:tcPr>
            <w:tcW w:w="2736" w:type="dxa"/>
            <w:vAlign w:val="center"/>
          </w:tcPr>
          <w:p w14:paraId="325E2982" w14:textId="77777777" w:rsidR="00B5689C" w:rsidRPr="00DC057F" w:rsidRDefault="00B5689C" w:rsidP="009D2CB2">
            <w:pPr>
              <w:jc w:val="center"/>
              <w:rPr>
                <w:rFonts w:cstheme="minorHAnsi"/>
                <w:color w:val="242424"/>
                <w:shd w:val="clear" w:color="auto" w:fill="FFFFFF"/>
              </w:rPr>
            </w:pPr>
          </w:p>
        </w:tc>
        <w:tc>
          <w:tcPr>
            <w:tcW w:w="2736" w:type="dxa"/>
            <w:vAlign w:val="center"/>
          </w:tcPr>
          <w:p w14:paraId="616B3DBC" w14:textId="77777777" w:rsidR="00B5689C" w:rsidRDefault="00B5689C" w:rsidP="009D2CB2">
            <w:pPr>
              <w:jc w:val="center"/>
              <w:rPr>
                <w:rFonts w:cstheme="minorHAnsi"/>
                <w:color w:val="242424"/>
                <w:shd w:val="clear" w:color="auto" w:fill="FFFFFF"/>
              </w:rPr>
            </w:pPr>
          </w:p>
        </w:tc>
      </w:tr>
    </w:tbl>
    <w:p w14:paraId="00B765E5" w14:textId="77777777" w:rsidR="00C964C7" w:rsidRPr="00DC057F" w:rsidRDefault="00C964C7" w:rsidP="009D2CB2">
      <w:pPr>
        <w:shd w:val="clear" w:color="auto" w:fill="FFFFFF" w:themeFill="background1"/>
        <w:rPr>
          <w:rFonts w:cstheme="minorHAnsi"/>
          <w:color w:val="1B1B1B"/>
          <w:sz w:val="22"/>
          <w:szCs w:val="22"/>
          <w:shd w:val="clear" w:color="auto" w:fill="FFFFFF"/>
        </w:rPr>
      </w:pPr>
    </w:p>
    <w:p w14:paraId="443DB16A" w14:textId="14FEAAFF" w:rsidR="00C964C7" w:rsidRPr="00DC057F" w:rsidRDefault="00DF4237" w:rsidP="009D2CB2">
      <w:pPr>
        <w:shd w:val="clear" w:color="auto" w:fill="FFFFFF" w:themeFill="background1"/>
        <w:rPr>
          <w:rFonts w:cstheme="minorHAnsi"/>
          <w:b/>
          <w:bCs/>
          <w:i/>
          <w:iCs/>
          <w:color w:val="1B1B1B"/>
          <w:sz w:val="22"/>
          <w:szCs w:val="22"/>
          <w:shd w:val="clear" w:color="auto" w:fill="FFFFFF"/>
        </w:rPr>
      </w:pPr>
      <w:r w:rsidRPr="00DC057F">
        <w:rPr>
          <w:rFonts w:cstheme="minorHAnsi"/>
          <w:b/>
          <w:bCs/>
          <w:i/>
          <w:iCs/>
          <w:color w:val="1B1B1B"/>
          <w:sz w:val="22"/>
          <w:szCs w:val="22"/>
          <w:shd w:val="clear" w:color="auto" w:fill="FFFFFF"/>
        </w:rPr>
        <w:t>What are the Reporting Requirements Associated with MVPs?</w:t>
      </w:r>
    </w:p>
    <w:p w14:paraId="34C16A4F" w14:textId="66525CA7" w:rsidR="00196ABB" w:rsidRDefault="00C263B2" w:rsidP="009D2CB2">
      <w:pPr>
        <w:shd w:val="clear" w:color="auto" w:fill="FFFFFF" w:themeFill="background1"/>
        <w:rPr>
          <w:rFonts w:cstheme="minorHAnsi"/>
          <w:color w:val="242424"/>
          <w:sz w:val="22"/>
          <w:szCs w:val="22"/>
          <w:shd w:val="clear" w:color="auto" w:fill="FFFFFF"/>
        </w:rPr>
      </w:pPr>
      <w:r w:rsidRPr="00DC057F">
        <w:rPr>
          <w:rFonts w:cstheme="minorHAnsi"/>
          <w:sz w:val="22"/>
          <w:szCs w:val="22"/>
        </w:rPr>
        <w:t>MVP</w:t>
      </w:r>
      <w:r w:rsidR="00196ABB" w:rsidRPr="00DC057F">
        <w:rPr>
          <w:rFonts w:cstheme="minorHAnsi"/>
          <w:sz w:val="22"/>
          <w:szCs w:val="22"/>
        </w:rPr>
        <w:t xml:space="preserve"> reporting requirements are outlined in the table below. Note that the Quality and Improvement Activities categories require the reporting of fewer measures/activities than traditional MIPS. </w:t>
      </w:r>
      <w:r w:rsidRPr="00DC057F">
        <w:rPr>
          <w:rFonts w:cstheme="minorHAnsi"/>
          <w:sz w:val="22"/>
          <w:szCs w:val="22"/>
        </w:rPr>
        <w:t xml:space="preserve">However, the Cost and Promoting Interoperability categories </w:t>
      </w:r>
      <w:r w:rsidR="009241EA" w:rsidRPr="00DC057F">
        <w:rPr>
          <w:rFonts w:cstheme="minorHAnsi"/>
          <w:sz w:val="22"/>
          <w:szCs w:val="22"/>
        </w:rPr>
        <w:t xml:space="preserve">largely mirror traditional MIPS. Also note that all MVPs include </w:t>
      </w:r>
      <w:r w:rsidR="009241EA" w:rsidRPr="00DC057F">
        <w:rPr>
          <w:rFonts w:cstheme="minorHAnsi"/>
          <w:color w:val="242424"/>
          <w:sz w:val="22"/>
          <w:szCs w:val="22"/>
          <w:shd w:val="clear" w:color="auto" w:fill="FFFFFF"/>
        </w:rPr>
        <w:t>a set of population health-focused administrative claims-based quality measures</w:t>
      </w:r>
      <w:r w:rsidR="00156C5B">
        <w:rPr>
          <w:rFonts w:cstheme="minorHAnsi"/>
          <w:color w:val="242424"/>
          <w:sz w:val="22"/>
          <w:szCs w:val="22"/>
          <w:shd w:val="clear" w:color="auto" w:fill="FFFFFF"/>
        </w:rPr>
        <w:t>. As noted below, MVP participants will</w:t>
      </w:r>
      <w:r w:rsidR="009E20A3">
        <w:rPr>
          <w:rFonts w:cstheme="minorHAnsi"/>
          <w:color w:val="242424"/>
          <w:sz w:val="22"/>
          <w:szCs w:val="22"/>
          <w:shd w:val="clear" w:color="auto" w:fill="FFFFFF"/>
        </w:rPr>
        <w:t xml:space="preserve"> select one of those measures, and</w:t>
      </w:r>
      <w:r w:rsidR="009241EA" w:rsidRPr="00DC057F">
        <w:rPr>
          <w:rFonts w:cstheme="minorHAnsi"/>
          <w:color w:val="242424"/>
          <w:sz w:val="22"/>
          <w:szCs w:val="22"/>
          <w:shd w:val="clear" w:color="auto" w:fill="FFFFFF"/>
        </w:rPr>
        <w:t xml:space="preserve"> CMS will calculate </w:t>
      </w:r>
      <w:r w:rsidR="009E20A3">
        <w:rPr>
          <w:rFonts w:cstheme="minorHAnsi"/>
          <w:color w:val="242424"/>
          <w:sz w:val="22"/>
          <w:szCs w:val="22"/>
          <w:shd w:val="clear" w:color="auto" w:fill="FFFFFF"/>
        </w:rPr>
        <w:t xml:space="preserve">performance on the measure </w:t>
      </w:r>
      <w:r w:rsidR="009241EA" w:rsidRPr="00DC057F">
        <w:rPr>
          <w:rFonts w:cstheme="minorHAnsi"/>
          <w:color w:val="242424"/>
          <w:sz w:val="22"/>
          <w:szCs w:val="22"/>
          <w:shd w:val="clear" w:color="auto" w:fill="FFFFFF"/>
        </w:rPr>
        <w:t xml:space="preserve">automatically, similar to Cost measures, if the participant meets a measure’s case minimum.  </w:t>
      </w:r>
    </w:p>
    <w:p w14:paraId="63620F04" w14:textId="77777777" w:rsidR="009D2CB2" w:rsidRPr="00DC057F" w:rsidRDefault="009D2CB2" w:rsidP="009D2CB2">
      <w:pPr>
        <w:shd w:val="clear" w:color="auto" w:fill="FFFFFF" w:themeFill="background1"/>
        <w:rPr>
          <w:rFonts w:cstheme="minorHAnsi"/>
          <w:color w:val="1B1B1B"/>
          <w:sz w:val="22"/>
          <w:szCs w:val="22"/>
          <w:shd w:val="clear" w:color="auto" w:fill="FFFFFF"/>
        </w:rPr>
      </w:pPr>
    </w:p>
    <w:tbl>
      <w:tblPr>
        <w:tblStyle w:val="TableGrid"/>
        <w:tblW w:w="0" w:type="auto"/>
        <w:tblLook w:val="04A0" w:firstRow="1" w:lastRow="0" w:firstColumn="1" w:lastColumn="0" w:noHBand="0" w:noVBand="1"/>
      </w:tblPr>
      <w:tblGrid>
        <w:gridCol w:w="3116"/>
        <w:gridCol w:w="1559"/>
        <w:gridCol w:w="1558"/>
        <w:gridCol w:w="3117"/>
      </w:tblGrid>
      <w:tr w:rsidR="00196ABB" w:rsidRPr="00DC057F" w14:paraId="52DF38AE" w14:textId="77777777" w:rsidTr="00D86D05">
        <w:tc>
          <w:tcPr>
            <w:tcW w:w="3116" w:type="dxa"/>
          </w:tcPr>
          <w:p w14:paraId="60814B10" w14:textId="77777777" w:rsidR="00196ABB" w:rsidRPr="00DC057F" w:rsidRDefault="00196ABB" w:rsidP="009D2CB2">
            <w:pPr>
              <w:jc w:val="center"/>
              <w:rPr>
                <w:rFonts w:cstheme="minorHAnsi"/>
                <w:b/>
                <w:bCs/>
                <w:color w:val="242424"/>
                <w:shd w:val="clear" w:color="auto" w:fill="FFFFFF"/>
              </w:rPr>
            </w:pPr>
            <w:r w:rsidRPr="00DC057F">
              <w:rPr>
                <w:rFonts w:cstheme="minorHAnsi"/>
                <w:b/>
                <w:bCs/>
                <w:color w:val="242424"/>
                <w:shd w:val="clear" w:color="auto" w:fill="FFFFFF"/>
              </w:rPr>
              <w:t xml:space="preserve">Quality </w:t>
            </w:r>
          </w:p>
          <w:p w14:paraId="5B299D25" w14:textId="77777777" w:rsidR="00196ABB" w:rsidRPr="00DC057F" w:rsidRDefault="00196ABB" w:rsidP="009D2CB2">
            <w:pPr>
              <w:jc w:val="center"/>
              <w:rPr>
                <w:rFonts w:cstheme="minorHAnsi"/>
                <w:b/>
                <w:bCs/>
                <w:color w:val="242424"/>
                <w:shd w:val="clear" w:color="auto" w:fill="FFFFFF"/>
              </w:rPr>
            </w:pPr>
            <w:r w:rsidRPr="00DC057F">
              <w:rPr>
                <w:rFonts w:cstheme="minorHAnsi"/>
                <w:b/>
                <w:bCs/>
                <w:color w:val="242424"/>
                <w:shd w:val="clear" w:color="auto" w:fill="FFFFFF"/>
              </w:rPr>
              <w:t>Requirements</w:t>
            </w:r>
          </w:p>
        </w:tc>
        <w:tc>
          <w:tcPr>
            <w:tcW w:w="3117" w:type="dxa"/>
            <w:gridSpan w:val="2"/>
          </w:tcPr>
          <w:p w14:paraId="667E89B4" w14:textId="77777777" w:rsidR="00196ABB" w:rsidRPr="00DC057F" w:rsidRDefault="00196ABB" w:rsidP="009D2CB2">
            <w:pPr>
              <w:jc w:val="center"/>
              <w:rPr>
                <w:rFonts w:cstheme="minorHAnsi"/>
                <w:b/>
                <w:bCs/>
                <w:color w:val="242424"/>
                <w:shd w:val="clear" w:color="auto" w:fill="FFFFFF"/>
              </w:rPr>
            </w:pPr>
            <w:r w:rsidRPr="00DC057F">
              <w:rPr>
                <w:rFonts w:cstheme="minorHAnsi"/>
                <w:b/>
                <w:bCs/>
                <w:color w:val="242424"/>
                <w:shd w:val="clear" w:color="auto" w:fill="FFFFFF"/>
              </w:rPr>
              <w:t>Improvement Activities</w:t>
            </w:r>
          </w:p>
          <w:p w14:paraId="1F75A27F" w14:textId="77777777" w:rsidR="00196ABB" w:rsidRPr="00DC057F" w:rsidRDefault="00196ABB" w:rsidP="009D2CB2">
            <w:pPr>
              <w:jc w:val="center"/>
              <w:rPr>
                <w:rFonts w:cstheme="minorHAnsi"/>
                <w:b/>
                <w:bCs/>
                <w:color w:val="242424"/>
                <w:shd w:val="clear" w:color="auto" w:fill="FFFFFF"/>
              </w:rPr>
            </w:pPr>
            <w:r w:rsidRPr="00DC057F">
              <w:rPr>
                <w:rFonts w:cstheme="minorHAnsi"/>
                <w:b/>
                <w:bCs/>
                <w:color w:val="242424"/>
                <w:shd w:val="clear" w:color="auto" w:fill="FFFFFF"/>
              </w:rPr>
              <w:t>Requirements</w:t>
            </w:r>
          </w:p>
        </w:tc>
        <w:tc>
          <w:tcPr>
            <w:tcW w:w="3117" w:type="dxa"/>
          </w:tcPr>
          <w:p w14:paraId="7EE7AF62" w14:textId="77777777" w:rsidR="00196ABB" w:rsidRPr="00DC057F" w:rsidRDefault="00196ABB" w:rsidP="009D2CB2">
            <w:pPr>
              <w:jc w:val="center"/>
              <w:rPr>
                <w:rFonts w:cstheme="minorHAnsi"/>
                <w:b/>
                <w:bCs/>
                <w:color w:val="242424"/>
                <w:shd w:val="clear" w:color="auto" w:fill="FFFFFF"/>
              </w:rPr>
            </w:pPr>
            <w:r w:rsidRPr="00DC057F">
              <w:rPr>
                <w:rFonts w:cstheme="minorHAnsi"/>
                <w:b/>
                <w:bCs/>
                <w:color w:val="242424"/>
                <w:shd w:val="clear" w:color="auto" w:fill="FFFFFF"/>
              </w:rPr>
              <w:t xml:space="preserve">Cost </w:t>
            </w:r>
          </w:p>
          <w:p w14:paraId="19404D39" w14:textId="77777777" w:rsidR="00196ABB" w:rsidRPr="00DC057F" w:rsidRDefault="00196ABB" w:rsidP="009D2CB2">
            <w:pPr>
              <w:jc w:val="center"/>
              <w:rPr>
                <w:rFonts w:cstheme="minorHAnsi"/>
                <w:b/>
                <w:bCs/>
                <w:color w:val="242424"/>
                <w:shd w:val="clear" w:color="auto" w:fill="FFFFFF"/>
              </w:rPr>
            </w:pPr>
            <w:r w:rsidRPr="00DC057F">
              <w:rPr>
                <w:rFonts w:cstheme="minorHAnsi"/>
                <w:b/>
                <w:bCs/>
                <w:color w:val="242424"/>
                <w:shd w:val="clear" w:color="auto" w:fill="FFFFFF"/>
              </w:rPr>
              <w:t xml:space="preserve">Requirements </w:t>
            </w:r>
          </w:p>
        </w:tc>
      </w:tr>
      <w:tr w:rsidR="00196ABB" w:rsidRPr="00DC057F" w14:paraId="1D01AC7D" w14:textId="77777777" w:rsidTr="00D86D05">
        <w:tc>
          <w:tcPr>
            <w:tcW w:w="3116" w:type="dxa"/>
          </w:tcPr>
          <w:p w14:paraId="588E5529" w14:textId="0B7EB22F" w:rsidR="00196ABB" w:rsidRPr="00DC057F" w:rsidRDefault="00196ABB" w:rsidP="009D2CB2">
            <w:pPr>
              <w:rPr>
                <w:rFonts w:cstheme="minorHAnsi"/>
                <w:color w:val="242424"/>
                <w:shd w:val="clear" w:color="auto" w:fill="FFFFFF"/>
              </w:rPr>
            </w:pPr>
            <w:r w:rsidRPr="00DC057F">
              <w:rPr>
                <w:rFonts w:cstheme="minorHAnsi"/>
                <w:color w:val="242424"/>
                <w:shd w:val="clear" w:color="auto" w:fill="FFFFFF"/>
              </w:rPr>
              <w:t xml:space="preserve">MVP participants </w:t>
            </w:r>
            <w:r w:rsidR="00B5689C">
              <w:rPr>
                <w:rFonts w:cstheme="minorHAnsi"/>
                <w:color w:val="242424"/>
                <w:shd w:val="clear" w:color="auto" w:fill="FFFFFF"/>
              </w:rPr>
              <w:t>must</w:t>
            </w:r>
            <w:r w:rsidRPr="00DC057F">
              <w:rPr>
                <w:rFonts w:cstheme="minorHAnsi"/>
                <w:color w:val="242424"/>
                <w:shd w:val="clear" w:color="auto" w:fill="FFFFFF"/>
              </w:rPr>
              <w:t xml:space="preserve"> select 4 quality measures from the MVP measure inventory. One of the measures they select must be </w:t>
            </w:r>
            <w:r w:rsidRPr="00DC057F">
              <w:rPr>
                <w:rFonts w:cstheme="minorHAnsi"/>
                <w:color w:val="242424"/>
                <w:shd w:val="clear" w:color="auto" w:fill="FFFFFF"/>
              </w:rPr>
              <w:lastRenderedPageBreak/>
              <w:t xml:space="preserve">an outcome or a high priority measure. </w:t>
            </w:r>
          </w:p>
          <w:p w14:paraId="6765D996" w14:textId="77777777" w:rsidR="00196ABB" w:rsidRPr="00DC057F" w:rsidRDefault="00196ABB" w:rsidP="009D2CB2">
            <w:pPr>
              <w:rPr>
                <w:rFonts w:cstheme="minorHAnsi"/>
                <w:color w:val="242424"/>
                <w:shd w:val="clear" w:color="auto" w:fill="FFFFFF"/>
              </w:rPr>
            </w:pPr>
          </w:p>
        </w:tc>
        <w:tc>
          <w:tcPr>
            <w:tcW w:w="3117" w:type="dxa"/>
            <w:gridSpan w:val="2"/>
          </w:tcPr>
          <w:p w14:paraId="49594B93" w14:textId="77777777" w:rsidR="00196ABB" w:rsidRPr="00DC057F" w:rsidRDefault="00196ABB" w:rsidP="009D2CB2">
            <w:pPr>
              <w:rPr>
                <w:rFonts w:cstheme="minorHAnsi"/>
                <w:color w:val="242424"/>
                <w:shd w:val="clear" w:color="auto" w:fill="FFFFFF"/>
              </w:rPr>
            </w:pPr>
            <w:r w:rsidRPr="00DC057F">
              <w:rPr>
                <w:rFonts w:cstheme="minorHAnsi"/>
                <w:color w:val="242424"/>
                <w:shd w:val="clear" w:color="auto" w:fill="FFFFFF"/>
              </w:rPr>
              <w:lastRenderedPageBreak/>
              <w:t xml:space="preserve">MVP participants must select: Two medium-weighted improvement activities </w:t>
            </w:r>
          </w:p>
          <w:p w14:paraId="01B51874" w14:textId="77777777" w:rsidR="00196ABB" w:rsidRPr="00DC057F" w:rsidRDefault="00196ABB" w:rsidP="009D2CB2">
            <w:pPr>
              <w:rPr>
                <w:rFonts w:cstheme="minorHAnsi"/>
                <w:b/>
                <w:bCs/>
                <w:color w:val="242424"/>
                <w:shd w:val="clear" w:color="auto" w:fill="FFFFFF"/>
              </w:rPr>
            </w:pPr>
            <w:r w:rsidRPr="00DC057F">
              <w:rPr>
                <w:rFonts w:cstheme="minorHAnsi"/>
                <w:b/>
                <w:bCs/>
                <w:color w:val="242424"/>
                <w:shd w:val="clear" w:color="auto" w:fill="FFFFFF"/>
              </w:rPr>
              <w:t xml:space="preserve">OR </w:t>
            </w:r>
          </w:p>
          <w:p w14:paraId="1B77C9A6" w14:textId="77777777" w:rsidR="00196ABB" w:rsidRPr="00DC057F" w:rsidRDefault="00196ABB" w:rsidP="009D2CB2">
            <w:pPr>
              <w:rPr>
                <w:rFonts w:cstheme="minorHAnsi"/>
                <w:color w:val="242424"/>
                <w:shd w:val="clear" w:color="auto" w:fill="FFFFFF"/>
              </w:rPr>
            </w:pPr>
            <w:r w:rsidRPr="00DC057F">
              <w:rPr>
                <w:rFonts w:cstheme="minorHAnsi"/>
                <w:color w:val="242424"/>
                <w:shd w:val="clear" w:color="auto" w:fill="FFFFFF"/>
              </w:rPr>
              <w:lastRenderedPageBreak/>
              <w:t>One high-weighted improvement activity</w:t>
            </w:r>
          </w:p>
          <w:p w14:paraId="5D7F9EED" w14:textId="77777777" w:rsidR="00196ABB" w:rsidRPr="00DC057F" w:rsidRDefault="00196ABB" w:rsidP="009D2CB2">
            <w:pPr>
              <w:rPr>
                <w:rFonts w:cstheme="minorHAnsi"/>
                <w:b/>
                <w:bCs/>
                <w:color w:val="242424"/>
                <w:shd w:val="clear" w:color="auto" w:fill="FFFFFF"/>
              </w:rPr>
            </w:pPr>
            <w:r w:rsidRPr="00DC057F">
              <w:rPr>
                <w:rFonts w:cstheme="minorHAnsi"/>
                <w:b/>
                <w:bCs/>
                <w:color w:val="242424"/>
                <w:shd w:val="clear" w:color="auto" w:fill="FFFFFF"/>
              </w:rPr>
              <w:t xml:space="preserve">OR </w:t>
            </w:r>
          </w:p>
          <w:p w14:paraId="2E078D3D" w14:textId="00B9605E" w:rsidR="00196ABB" w:rsidRPr="00DC057F" w:rsidRDefault="00196ABB" w:rsidP="009D2CB2">
            <w:pPr>
              <w:rPr>
                <w:rFonts w:cstheme="minorHAnsi"/>
                <w:color w:val="242424"/>
                <w:shd w:val="clear" w:color="auto" w:fill="FFFFFF"/>
              </w:rPr>
            </w:pPr>
            <w:r w:rsidRPr="00DC057F">
              <w:rPr>
                <w:rFonts w:cstheme="minorHAnsi"/>
                <w:color w:val="242424"/>
                <w:shd w:val="clear" w:color="auto" w:fill="FFFFFF"/>
              </w:rPr>
              <w:t>Participate in a certified or recognized patient centered medical home (PCMH) or comparable specialty practice</w:t>
            </w:r>
            <w:r w:rsidR="00FC62B3">
              <w:rPr>
                <w:rFonts w:cstheme="minorHAnsi"/>
                <w:color w:val="242424"/>
                <w:shd w:val="clear" w:color="auto" w:fill="FFFFFF"/>
              </w:rPr>
              <w:t>.</w:t>
            </w:r>
          </w:p>
        </w:tc>
        <w:tc>
          <w:tcPr>
            <w:tcW w:w="3117" w:type="dxa"/>
          </w:tcPr>
          <w:p w14:paraId="72C22490" w14:textId="6793E4EF" w:rsidR="00196ABB" w:rsidRPr="00DC057F" w:rsidRDefault="00196ABB" w:rsidP="009D2CB2">
            <w:pPr>
              <w:rPr>
                <w:rFonts w:cstheme="minorHAnsi"/>
                <w:color w:val="242424"/>
                <w:shd w:val="clear" w:color="auto" w:fill="FFFFFF"/>
              </w:rPr>
            </w:pPr>
            <w:r w:rsidRPr="00DC057F">
              <w:rPr>
                <w:rFonts w:cstheme="minorHAnsi"/>
                <w:color w:val="242424"/>
                <w:shd w:val="clear" w:color="auto" w:fill="FFFFFF"/>
              </w:rPr>
              <w:lastRenderedPageBreak/>
              <w:t>CMS calculates an MVP participant</w:t>
            </w:r>
            <w:r w:rsidR="00156C5B">
              <w:rPr>
                <w:rFonts w:cstheme="minorHAnsi"/>
                <w:color w:val="242424"/>
                <w:shd w:val="clear" w:color="auto" w:fill="FFFFFF"/>
              </w:rPr>
              <w:t>’</w:t>
            </w:r>
            <w:r w:rsidRPr="00DC057F">
              <w:rPr>
                <w:rFonts w:cstheme="minorHAnsi"/>
                <w:color w:val="242424"/>
                <w:shd w:val="clear" w:color="auto" w:fill="FFFFFF"/>
              </w:rPr>
              <w:t>s performance only on the cost measures that are included in the MVP based on administrative claims data</w:t>
            </w:r>
            <w:r w:rsidR="00B5689C">
              <w:rPr>
                <w:rFonts w:cstheme="minorHAnsi"/>
                <w:color w:val="242424"/>
                <w:shd w:val="clear" w:color="auto" w:fill="FFFFFF"/>
              </w:rPr>
              <w:t xml:space="preserve">, if </w:t>
            </w:r>
            <w:r w:rsidR="00B5689C">
              <w:rPr>
                <w:rFonts w:cstheme="minorHAnsi"/>
                <w:color w:val="242424"/>
                <w:shd w:val="clear" w:color="auto" w:fill="FFFFFF"/>
              </w:rPr>
              <w:lastRenderedPageBreak/>
              <w:t>the participant meets the measure’s case minimum</w:t>
            </w:r>
            <w:r w:rsidRPr="00DC057F">
              <w:rPr>
                <w:rFonts w:cstheme="minorHAnsi"/>
                <w:color w:val="242424"/>
                <w:shd w:val="clear" w:color="auto" w:fill="FFFFFF"/>
              </w:rPr>
              <w:t xml:space="preserve">. </w:t>
            </w:r>
          </w:p>
        </w:tc>
      </w:tr>
      <w:tr w:rsidR="00C263B2" w:rsidRPr="00DC057F" w14:paraId="7D556802" w14:textId="77777777" w:rsidTr="00D86D05">
        <w:tc>
          <w:tcPr>
            <w:tcW w:w="9350" w:type="dxa"/>
            <w:gridSpan w:val="4"/>
          </w:tcPr>
          <w:p w14:paraId="5F5C91E2" w14:textId="77777777" w:rsidR="00C263B2" w:rsidRPr="00DC057F" w:rsidRDefault="00C263B2" w:rsidP="009D2CB2">
            <w:pPr>
              <w:jc w:val="center"/>
              <w:rPr>
                <w:rFonts w:cstheme="minorHAnsi"/>
                <w:b/>
                <w:bCs/>
                <w:color w:val="242424"/>
                <w:shd w:val="clear" w:color="auto" w:fill="FFFFFF"/>
              </w:rPr>
            </w:pPr>
            <w:r w:rsidRPr="00DC057F">
              <w:rPr>
                <w:rFonts w:cstheme="minorHAnsi"/>
                <w:b/>
                <w:bCs/>
                <w:color w:val="242424"/>
                <w:shd w:val="clear" w:color="auto" w:fill="FFFFFF"/>
              </w:rPr>
              <w:lastRenderedPageBreak/>
              <w:t>Foundational Layer</w:t>
            </w:r>
          </w:p>
        </w:tc>
      </w:tr>
      <w:tr w:rsidR="00C263B2" w:rsidRPr="00DC057F" w14:paraId="0593347F" w14:textId="77777777" w:rsidTr="00D86D05">
        <w:tc>
          <w:tcPr>
            <w:tcW w:w="4675" w:type="dxa"/>
            <w:gridSpan w:val="2"/>
          </w:tcPr>
          <w:p w14:paraId="50841DEB" w14:textId="77777777" w:rsidR="00C263B2" w:rsidRPr="00DC057F" w:rsidRDefault="00C263B2" w:rsidP="009D2CB2">
            <w:pPr>
              <w:jc w:val="center"/>
              <w:rPr>
                <w:rFonts w:cstheme="minorHAnsi"/>
                <w:b/>
                <w:bCs/>
                <w:color w:val="242424"/>
                <w:shd w:val="clear" w:color="auto" w:fill="FFFFFF"/>
              </w:rPr>
            </w:pPr>
            <w:r w:rsidRPr="00DC057F">
              <w:rPr>
                <w:rFonts w:cstheme="minorHAnsi"/>
                <w:b/>
                <w:bCs/>
                <w:color w:val="242424"/>
                <w:shd w:val="clear" w:color="auto" w:fill="FFFFFF"/>
              </w:rPr>
              <w:t>Population Health Measures</w:t>
            </w:r>
          </w:p>
        </w:tc>
        <w:tc>
          <w:tcPr>
            <w:tcW w:w="4675" w:type="dxa"/>
            <w:gridSpan w:val="2"/>
          </w:tcPr>
          <w:p w14:paraId="777CB0AF" w14:textId="77777777" w:rsidR="00C263B2" w:rsidRPr="00DC057F" w:rsidRDefault="00C263B2" w:rsidP="009D2CB2">
            <w:pPr>
              <w:jc w:val="center"/>
              <w:rPr>
                <w:rFonts w:cstheme="minorHAnsi"/>
                <w:b/>
                <w:bCs/>
                <w:color w:val="242424"/>
                <w:shd w:val="clear" w:color="auto" w:fill="FFFFFF"/>
              </w:rPr>
            </w:pPr>
            <w:r w:rsidRPr="00DC057F">
              <w:rPr>
                <w:rFonts w:cstheme="minorHAnsi"/>
                <w:b/>
                <w:bCs/>
                <w:color w:val="242424"/>
                <w:shd w:val="clear" w:color="auto" w:fill="FFFFFF"/>
              </w:rPr>
              <w:t>Promoting Interoperability Requirements</w:t>
            </w:r>
          </w:p>
        </w:tc>
      </w:tr>
      <w:tr w:rsidR="00C263B2" w:rsidRPr="00DC057F" w14:paraId="61E32569" w14:textId="77777777" w:rsidTr="00D86D05">
        <w:tc>
          <w:tcPr>
            <w:tcW w:w="4675" w:type="dxa"/>
            <w:gridSpan w:val="2"/>
          </w:tcPr>
          <w:p w14:paraId="7B51969E" w14:textId="0D506E31" w:rsidR="00C263B2" w:rsidRPr="00DC057F" w:rsidRDefault="00C263B2" w:rsidP="009D2CB2">
            <w:pPr>
              <w:rPr>
                <w:rFonts w:cstheme="minorHAnsi"/>
                <w:color w:val="242424"/>
                <w:shd w:val="clear" w:color="auto" w:fill="FFFFFF"/>
              </w:rPr>
            </w:pPr>
            <w:r w:rsidRPr="00DC057F">
              <w:rPr>
                <w:rFonts w:cstheme="minorHAnsi"/>
                <w:color w:val="242424"/>
                <w:shd w:val="clear" w:color="auto" w:fill="FFFFFF"/>
              </w:rPr>
              <w:t xml:space="preserve">MVP participants must select 1 population health measure. The results of the population health measure are added to their quality performance score. </w:t>
            </w:r>
            <w:r w:rsidR="00D521F3" w:rsidRPr="00DC057F">
              <w:rPr>
                <w:rFonts w:cstheme="minorHAnsi"/>
                <w:color w:val="242424"/>
                <w:shd w:val="clear" w:color="auto" w:fill="FFFFFF"/>
              </w:rPr>
              <w:t xml:space="preserve">CMS will calculate </w:t>
            </w:r>
            <w:r w:rsidR="00D521F3">
              <w:rPr>
                <w:rFonts w:cstheme="minorHAnsi"/>
                <w:color w:val="242424"/>
                <w:shd w:val="clear" w:color="auto" w:fill="FFFFFF"/>
              </w:rPr>
              <w:t xml:space="preserve">performance on this measure </w:t>
            </w:r>
            <w:r w:rsidR="00D521F3" w:rsidRPr="00DC057F">
              <w:rPr>
                <w:rFonts w:cstheme="minorHAnsi"/>
                <w:color w:val="242424"/>
                <w:shd w:val="clear" w:color="auto" w:fill="FFFFFF"/>
              </w:rPr>
              <w:t>automatically</w:t>
            </w:r>
            <w:r w:rsidR="00D521F3">
              <w:rPr>
                <w:rFonts w:cstheme="minorHAnsi"/>
                <w:color w:val="242424"/>
                <w:shd w:val="clear" w:color="auto" w:fill="FFFFFF"/>
              </w:rPr>
              <w:t xml:space="preserve"> </w:t>
            </w:r>
            <w:r w:rsidR="00D521F3" w:rsidRPr="00DC057F">
              <w:rPr>
                <w:rFonts w:cstheme="minorHAnsi"/>
                <w:color w:val="242424"/>
                <w:shd w:val="clear" w:color="auto" w:fill="FFFFFF"/>
              </w:rPr>
              <w:t xml:space="preserve">if the participant meets </w:t>
            </w:r>
            <w:r w:rsidR="00D521F3">
              <w:rPr>
                <w:rFonts w:cstheme="minorHAnsi"/>
                <w:color w:val="242424"/>
                <w:shd w:val="clear" w:color="auto" w:fill="FFFFFF"/>
              </w:rPr>
              <w:t>the</w:t>
            </w:r>
            <w:r w:rsidR="00D521F3" w:rsidRPr="00DC057F">
              <w:rPr>
                <w:rFonts w:cstheme="minorHAnsi"/>
                <w:color w:val="242424"/>
                <w:shd w:val="clear" w:color="auto" w:fill="FFFFFF"/>
              </w:rPr>
              <w:t xml:space="preserve"> measure’s case minimum</w:t>
            </w:r>
            <w:r w:rsidR="00D521F3">
              <w:rPr>
                <w:rFonts w:cstheme="minorHAnsi"/>
                <w:color w:val="242424"/>
                <w:shd w:val="clear" w:color="auto" w:fill="FFFFFF"/>
              </w:rPr>
              <w:t>.</w:t>
            </w:r>
          </w:p>
        </w:tc>
        <w:tc>
          <w:tcPr>
            <w:tcW w:w="4675" w:type="dxa"/>
            <w:gridSpan w:val="2"/>
          </w:tcPr>
          <w:p w14:paraId="040C2B3B" w14:textId="77777777" w:rsidR="00C263B2" w:rsidRPr="00DC057F" w:rsidRDefault="00C263B2" w:rsidP="009D2CB2">
            <w:pPr>
              <w:rPr>
                <w:rFonts w:cstheme="minorHAnsi"/>
                <w:color w:val="242424"/>
                <w:shd w:val="clear" w:color="auto" w:fill="FFFFFF"/>
              </w:rPr>
            </w:pPr>
            <w:r w:rsidRPr="00DC057F">
              <w:rPr>
                <w:rFonts w:cstheme="minorHAnsi"/>
                <w:color w:val="242424"/>
                <w:shd w:val="clear" w:color="auto" w:fill="FFFFFF"/>
              </w:rPr>
              <w:t xml:space="preserve">The PI requirements for MVPs are the same as traditional MIPS, unless the MVP participant qualified for automatic reweighting or has an approved hardship exception. </w:t>
            </w:r>
          </w:p>
        </w:tc>
      </w:tr>
    </w:tbl>
    <w:p w14:paraId="1A4836E9" w14:textId="6BA12CDE" w:rsidR="00A401F7" w:rsidRPr="00DC057F" w:rsidRDefault="00A401F7" w:rsidP="009D2CB2">
      <w:pPr>
        <w:shd w:val="clear" w:color="auto" w:fill="FFFFFF" w:themeFill="background1"/>
        <w:rPr>
          <w:rFonts w:cstheme="minorHAnsi"/>
          <w:color w:val="1B1B1B"/>
          <w:sz w:val="22"/>
          <w:szCs w:val="22"/>
          <w:shd w:val="clear" w:color="auto" w:fill="FFFFFF"/>
        </w:rPr>
      </w:pPr>
    </w:p>
    <w:p w14:paraId="63AFB155" w14:textId="62B2A6A0" w:rsidR="005F74CB" w:rsidRDefault="004A554E" w:rsidP="009D2CB2">
      <w:pPr>
        <w:shd w:val="clear" w:color="auto" w:fill="FFFFFF" w:themeFill="background1"/>
        <w:rPr>
          <w:rFonts w:cstheme="minorHAnsi"/>
          <w:sz w:val="22"/>
          <w:szCs w:val="22"/>
        </w:rPr>
      </w:pPr>
      <w:r w:rsidRPr="00DC057F">
        <w:rPr>
          <w:rFonts w:cstheme="minorHAnsi"/>
          <w:color w:val="1B1B1B"/>
          <w:sz w:val="22"/>
          <w:szCs w:val="22"/>
          <w:shd w:val="clear" w:color="auto" w:fill="FFFFFF"/>
        </w:rPr>
        <w:t xml:space="preserve">MVP scoring policies </w:t>
      </w:r>
      <w:r w:rsidR="00DC057F">
        <w:rPr>
          <w:rFonts w:cstheme="minorHAnsi"/>
          <w:color w:val="1B1B1B"/>
          <w:sz w:val="22"/>
          <w:szCs w:val="22"/>
          <w:shd w:val="clear" w:color="auto" w:fill="FFFFFF"/>
        </w:rPr>
        <w:t xml:space="preserve">also </w:t>
      </w:r>
      <w:r w:rsidRPr="00DC057F">
        <w:rPr>
          <w:rFonts w:cstheme="minorHAnsi"/>
          <w:color w:val="1B1B1B"/>
          <w:sz w:val="22"/>
          <w:szCs w:val="22"/>
          <w:shd w:val="clear" w:color="auto" w:fill="FFFFFF"/>
        </w:rPr>
        <w:t xml:space="preserve">largely mirror those of traditional MIPS. </w:t>
      </w:r>
      <w:r w:rsidR="00DC057F">
        <w:rPr>
          <w:rFonts w:cstheme="minorHAnsi"/>
          <w:color w:val="1B1B1B"/>
          <w:sz w:val="22"/>
          <w:szCs w:val="22"/>
          <w:shd w:val="clear" w:color="auto" w:fill="FFFFFF"/>
        </w:rPr>
        <w:t>An</w:t>
      </w:r>
      <w:r w:rsidRPr="00DC057F">
        <w:rPr>
          <w:rFonts w:cstheme="minorHAnsi"/>
          <w:sz w:val="22"/>
          <w:szCs w:val="22"/>
        </w:rPr>
        <w:t xml:space="preserve"> MVP participant will receive a final score based on the same performance category weights used in traditional MIPS, and the same performance category weight redistribution policies apply. For example, if an MVP </w:t>
      </w:r>
      <w:r w:rsidR="005F74CB" w:rsidRPr="00DC057F">
        <w:rPr>
          <w:rFonts w:cstheme="minorHAnsi"/>
          <w:sz w:val="22"/>
          <w:szCs w:val="22"/>
        </w:rPr>
        <w:t xml:space="preserve">participant </w:t>
      </w:r>
      <w:r w:rsidRPr="00DC057F">
        <w:rPr>
          <w:rFonts w:cstheme="minorHAnsi"/>
          <w:sz w:val="22"/>
          <w:szCs w:val="22"/>
        </w:rPr>
        <w:t>meets the criteria for “</w:t>
      </w:r>
      <w:hyperlink r:id="rId5" w:anchor="hospital-based" w:history="1">
        <w:r w:rsidR="00E120F1" w:rsidRPr="00E120F1">
          <w:rPr>
            <w:rStyle w:val="Hyperlink"/>
            <w:rFonts w:cstheme="minorHAnsi"/>
            <w:sz w:val="22"/>
            <w:szCs w:val="22"/>
          </w:rPr>
          <w:t>hospital-based</w:t>
        </w:r>
      </w:hyperlink>
      <w:r w:rsidR="00E120F1">
        <w:rPr>
          <w:rFonts w:cstheme="minorHAnsi"/>
          <w:sz w:val="22"/>
          <w:szCs w:val="22"/>
        </w:rPr>
        <w:t xml:space="preserve">,” </w:t>
      </w:r>
      <w:r w:rsidR="005F74CB" w:rsidRPr="00DC057F">
        <w:rPr>
          <w:rFonts w:cstheme="minorHAnsi"/>
          <w:sz w:val="22"/>
          <w:szCs w:val="22"/>
        </w:rPr>
        <w:t>they</w:t>
      </w:r>
      <w:r w:rsidRPr="00DC057F">
        <w:rPr>
          <w:rFonts w:cstheme="minorHAnsi"/>
          <w:sz w:val="22"/>
          <w:szCs w:val="22"/>
        </w:rPr>
        <w:t xml:space="preserve"> will be exempt from </w:t>
      </w:r>
      <w:r w:rsidR="005F74CB" w:rsidRPr="00DC057F">
        <w:rPr>
          <w:rFonts w:cstheme="minorHAnsi"/>
          <w:sz w:val="22"/>
          <w:szCs w:val="22"/>
        </w:rPr>
        <w:t xml:space="preserve">having to satisfy </w:t>
      </w:r>
      <w:r w:rsidRPr="00DC057F">
        <w:rPr>
          <w:rFonts w:cstheme="minorHAnsi"/>
          <w:sz w:val="22"/>
          <w:szCs w:val="22"/>
        </w:rPr>
        <w:t xml:space="preserve">the Promoting Interoperability category.   </w:t>
      </w:r>
    </w:p>
    <w:p w14:paraId="284C5DDC" w14:textId="77777777" w:rsidR="009E20A3" w:rsidRPr="00DC057F" w:rsidRDefault="009E20A3" w:rsidP="009D2CB2">
      <w:pPr>
        <w:shd w:val="clear" w:color="auto" w:fill="FFFFFF" w:themeFill="background1"/>
        <w:rPr>
          <w:rFonts w:cstheme="minorHAnsi"/>
          <w:sz w:val="22"/>
          <w:szCs w:val="22"/>
        </w:rPr>
      </w:pPr>
    </w:p>
    <w:p w14:paraId="241557DC" w14:textId="79698C93" w:rsidR="0040241A" w:rsidRPr="00DC057F" w:rsidRDefault="0040241A" w:rsidP="009D2CB2">
      <w:pPr>
        <w:rPr>
          <w:rFonts w:cstheme="minorHAnsi"/>
          <w:b/>
          <w:bCs/>
          <w:i/>
          <w:iCs/>
          <w:color w:val="242424"/>
          <w:sz w:val="22"/>
          <w:szCs w:val="22"/>
          <w:shd w:val="clear" w:color="auto" w:fill="FFFFFF"/>
        </w:rPr>
      </w:pPr>
      <w:r w:rsidRPr="00DC057F">
        <w:rPr>
          <w:rFonts w:cstheme="minorHAnsi"/>
          <w:b/>
          <w:bCs/>
          <w:i/>
          <w:iCs/>
          <w:color w:val="242424"/>
          <w:sz w:val="22"/>
          <w:szCs w:val="22"/>
          <w:shd w:val="clear" w:color="auto" w:fill="FFFFFF"/>
        </w:rPr>
        <w:t xml:space="preserve">What is </w:t>
      </w:r>
      <w:r w:rsidR="00FC62B3">
        <w:rPr>
          <w:rFonts w:cstheme="minorHAnsi"/>
          <w:b/>
          <w:bCs/>
          <w:i/>
          <w:iCs/>
          <w:color w:val="242424"/>
          <w:sz w:val="22"/>
          <w:szCs w:val="22"/>
          <w:shd w:val="clear" w:color="auto" w:fill="FFFFFF"/>
        </w:rPr>
        <w:t>S</w:t>
      </w:r>
      <w:r w:rsidRPr="00DC057F">
        <w:rPr>
          <w:rFonts w:cstheme="minorHAnsi"/>
          <w:b/>
          <w:bCs/>
          <w:i/>
          <w:iCs/>
          <w:color w:val="242424"/>
          <w:sz w:val="22"/>
          <w:szCs w:val="22"/>
          <w:shd w:val="clear" w:color="auto" w:fill="FFFFFF"/>
        </w:rPr>
        <w:t xml:space="preserve">ubgroup </w:t>
      </w:r>
      <w:r w:rsidR="00FC62B3">
        <w:rPr>
          <w:rFonts w:cstheme="minorHAnsi"/>
          <w:b/>
          <w:bCs/>
          <w:i/>
          <w:iCs/>
          <w:color w:val="242424"/>
          <w:sz w:val="22"/>
          <w:szCs w:val="22"/>
          <w:shd w:val="clear" w:color="auto" w:fill="FFFFFF"/>
        </w:rPr>
        <w:t>R</w:t>
      </w:r>
      <w:r w:rsidRPr="00DC057F">
        <w:rPr>
          <w:rFonts w:cstheme="minorHAnsi"/>
          <w:b/>
          <w:bCs/>
          <w:i/>
          <w:iCs/>
          <w:color w:val="242424"/>
          <w:sz w:val="22"/>
          <w:szCs w:val="22"/>
          <w:shd w:val="clear" w:color="auto" w:fill="FFFFFF"/>
        </w:rPr>
        <w:t>eporting?</w:t>
      </w:r>
    </w:p>
    <w:p w14:paraId="0DE9985E" w14:textId="5AB2EAA1" w:rsidR="00EF5B27" w:rsidRPr="009E20A3" w:rsidRDefault="0040241A" w:rsidP="009D2CB2">
      <w:pPr>
        <w:rPr>
          <w:rFonts w:cstheme="minorHAnsi"/>
          <w:color w:val="000000" w:themeColor="text1"/>
          <w:sz w:val="22"/>
          <w:szCs w:val="22"/>
        </w:rPr>
      </w:pPr>
      <w:r w:rsidRPr="00DC057F">
        <w:rPr>
          <w:rFonts w:cstheme="minorHAnsi"/>
          <w:color w:val="000000" w:themeColor="text1"/>
          <w:sz w:val="22"/>
          <w:szCs w:val="22"/>
        </w:rPr>
        <w:t xml:space="preserve">Multispecialty groups participating in MIPS through an MVP will have the option to create subgroups to report performance information that is relevant to specific specialists or care teams within the larger group. </w:t>
      </w:r>
      <w:r w:rsidRPr="00DC057F">
        <w:rPr>
          <w:rFonts w:cstheme="minorHAnsi"/>
          <w:sz w:val="22"/>
          <w:szCs w:val="22"/>
        </w:rPr>
        <w:t>CMS defines a subgroup as a subset of clinicians within a group (identified by a single TIN), which contains at least 2 clinicians, 1 of whom is an individually eligible MIPS eligible clinician.</w:t>
      </w:r>
      <w:r w:rsidRPr="00DC057F">
        <w:rPr>
          <w:rFonts w:cstheme="minorHAnsi"/>
          <w:color w:val="000000" w:themeColor="text1"/>
          <w:sz w:val="22"/>
          <w:szCs w:val="22"/>
        </w:rPr>
        <w:t xml:space="preserve"> </w:t>
      </w:r>
      <w:r w:rsidR="00EF5B27" w:rsidRPr="00DC057F">
        <w:rPr>
          <w:rFonts w:cstheme="minorHAnsi"/>
          <w:color w:val="000000" w:themeColor="text1"/>
          <w:sz w:val="22"/>
          <w:szCs w:val="22"/>
        </w:rPr>
        <w:t xml:space="preserve">Note that </w:t>
      </w:r>
      <w:r w:rsidR="00EF5B27" w:rsidRPr="00DC057F">
        <w:rPr>
          <w:rFonts w:cstheme="minorHAnsi"/>
          <w:sz w:val="22"/>
          <w:szCs w:val="22"/>
        </w:rPr>
        <w:t xml:space="preserve">a subgroup may not include clinicians from a different </w:t>
      </w:r>
      <w:r w:rsidR="00EF5B27" w:rsidRPr="009E20A3">
        <w:rPr>
          <w:rFonts w:cstheme="minorHAnsi"/>
          <w:sz w:val="22"/>
          <w:szCs w:val="22"/>
        </w:rPr>
        <w:t>TIN (</w:t>
      </w:r>
      <w:r w:rsidR="009E20A3">
        <w:rPr>
          <w:rFonts w:cstheme="minorHAnsi"/>
          <w:sz w:val="22"/>
          <w:szCs w:val="22"/>
        </w:rPr>
        <w:t>which would instead be accommodated through the</w:t>
      </w:r>
      <w:r w:rsidR="009E20A3" w:rsidRPr="009E20A3">
        <w:rPr>
          <w:rFonts w:cstheme="minorHAnsi"/>
          <w:sz w:val="22"/>
          <w:szCs w:val="22"/>
        </w:rPr>
        <w:t xml:space="preserve"> </w:t>
      </w:r>
      <w:hyperlink r:id="rId6" w:history="1">
        <w:r w:rsidR="00EF5B27" w:rsidRPr="009E20A3">
          <w:rPr>
            <w:rStyle w:val="Hyperlink"/>
            <w:rFonts w:cstheme="minorHAnsi"/>
            <w:sz w:val="22"/>
            <w:szCs w:val="22"/>
          </w:rPr>
          <w:t>Virtual Group option</w:t>
        </w:r>
      </w:hyperlink>
      <w:r w:rsidR="00EF5B27" w:rsidRPr="009E20A3">
        <w:rPr>
          <w:rFonts w:cstheme="minorHAnsi"/>
          <w:sz w:val="22"/>
          <w:szCs w:val="22"/>
        </w:rPr>
        <w:t>).</w:t>
      </w:r>
      <w:r w:rsidR="00EF5B27" w:rsidRPr="009E20A3">
        <w:rPr>
          <w:rFonts w:cstheme="minorHAnsi"/>
          <w:color w:val="000000" w:themeColor="text1"/>
          <w:sz w:val="22"/>
          <w:szCs w:val="22"/>
        </w:rPr>
        <w:t xml:space="preserve">  </w:t>
      </w:r>
    </w:p>
    <w:p w14:paraId="41D35BA7" w14:textId="77777777" w:rsidR="00EF5B27" w:rsidRPr="00DC057F" w:rsidRDefault="00EF5B27" w:rsidP="009D2CB2">
      <w:pPr>
        <w:rPr>
          <w:rFonts w:cstheme="minorHAnsi"/>
          <w:color w:val="000000" w:themeColor="text1"/>
          <w:sz w:val="22"/>
          <w:szCs w:val="22"/>
        </w:rPr>
      </w:pPr>
    </w:p>
    <w:p w14:paraId="356D5206" w14:textId="6152B654" w:rsidR="005F74CB" w:rsidRPr="00DC057F" w:rsidRDefault="0040241A" w:rsidP="009D2CB2">
      <w:pPr>
        <w:rPr>
          <w:rFonts w:cstheme="minorHAnsi"/>
          <w:sz w:val="22"/>
          <w:szCs w:val="22"/>
        </w:rPr>
      </w:pPr>
      <w:r w:rsidRPr="00DC057F">
        <w:rPr>
          <w:rFonts w:cstheme="minorHAnsi"/>
          <w:color w:val="000000" w:themeColor="text1"/>
          <w:sz w:val="22"/>
          <w:szCs w:val="22"/>
        </w:rPr>
        <w:t xml:space="preserve">At this time, CMS has not yet proposed any </w:t>
      </w:r>
      <w:r w:rsidR="00EF5B27" w:rsidRPr="00DC057F">
        <w:rPr>
          <w:rFonts w:cstheme="minorHAnsi"/>
          <w:color w:val="000000" w:themeColor="text1"/>
          <w:sz w:val="22"/>
          <w:szCs w:val="22"/>
        </w:rPr>
        <w:t xml:space="preserve">restrictions </w:t>
      </w:r>
      <w:r w:rsidRPr="00DC057F">
        <w:rPr>
          <w:rFonts w:cstheme="minorHAnsi"/>
          <w:color w:val="000000" w:themeColor="text1"/>
          <w:sz w:val="22"/>
          <w:szCs w:val="22"/>
        </w:rPr>
        <w:t xml:space="preserve">on the composition of a subgroup other than </w:t>
      </w:r>
      <w:r w:rsidR="00EF5B27" w:rsidRPr="00DC057F">
        <w:rPr>
          <w:rFonts w:cstheme="minorHAnsi"/>
          <w:color w:val="000000" w:themeColor="text1"/>
          <w:sz w:val="22"/>
          <w:szCs w:val="22"/>
        </w:rPr>
        <w:t>limiting</w:t>
      </w:r>
      <w:r w:rsidRPr="00DC057F">
        <w:rPr>
          <w:rFonts w:cstheme="minorHAnsi"/>
          <w:color w:val="000000" w:themeColor="text1"/>
          <w:sz w:val="22"/>
          <w:szCs w:val="22"/>
        </w:rPr>
        <w:t xml:space="preserve"> an individual clinician to only one subgroup within a group. However, CMS is exploring options for allowing clinicians to participate in multiple subgroups in the future. </w:t>
      </w:r>
      <w:r w:rsidR="00DC057F" w:rsidRPr="00DC057F">
        <w:rPr>
          <w:rFonts w:cstheme="minorHAnsi"/>
          <w:color w:val="000000" w:themeColor="text1"/>
          <w:sz w:val="22"/>
          <w:szCs w:val="22"/>
        </w:rPr>
        <w:t xml:space="preserve">Additionally, </w:t>
      </w:r>
      <w:r w:rsidR="00DC057F" w:rsidRPr="00DC057F">
        <w:rPr>
          <w:rFonts w:cstheme="minorHAnsi"/>
          <w:sz w:val="22"/>
          <w:szCs w:val="22"/>
        </w:rPr>
        <w:t xml:space="preserve">practices may participate as multiple subgroups and therefore report to more than one MVP based on clinical relevance. </w:t>
      </w:r>
      <w:r w:rsidR="00DC057F">
        <w:rPr>
          <w:rFonts w:cstheme="minorHAnsi"/>
          <w:sz w:val="22"/>
          <w:szCs w:val="22"/>
        </w:rPr>
        <w:t>A</w:t>
      </w:r>
      <w:r w:rsidR="00DC057F" w:rsidRPr="00DC057F">
        <w:rPr>
          <w:rFonts w:cstheme="minorHAnsi"/>
          <w:sz w:val="22"/>
          <w:szCs w:val="22"/>
        </w:rPr>
        <w:t xml:space="preserve"> </w:t>
      </w:r>
      <w:r w:rsidR="00EF5B27" w:rsidRPr="00DC057F">
        <w:rPr>
          <w:rFonts w:cstheme="minorHAnsi"/>
          <w:color w:val="000000" w:themeColor="text1"/>
          <w:sz w:val="22"/>
          <w:szCs w:val="22"/>
        </w:rPr>
        <w:t>subgroup</w:t>
      </w:r>
      <w:r w:rsidR="009E20A3">
        <w:rPr>
          <w:rFonts w:cstheme="minorHAnsi"/>
          <w:color w:val="000000" w:themeColor="text1"/>
          <w:sz w:val="22"/>
          <w:szCs w:val="22"/>
        </w:rPr>
        <w:t>, for example, could include</w:t>
      </w:r>
      <w:r w:rsidR="00DC057F">
        <w:rPr>
          <w:rFonts w:cstheme="minorHAnsi"/>
          <w:color w:val="000000" w:themeColor="text1"/>
          <w:sz w:val="22"/>
          <w:szCs w:val="22"/>
        </w:rPr>
        <w:t xml:space="preserve"> all </w:t>
      </w:r>
      <w:r w:rsidR="00DC057F" w:rsidRPr="00DC057F">
        <w:rPr>
          <w:rFonts w:cstheme="minorHAnsi"/>
          <w:color w:val="000000" w:themeColor="text1"/>
          <w:sz w:val="22"/>
          <w:szCs w:val="22"/>
        </w:rPr>
        <w:t>the</w:t>
      </w:r>
      <w:r w:rsidR="00EF5B27" w:rsidRPr="00DC057F">
        <w:rPr>
          <w:rFonts w:cstheme="minorHAnsi"/>
          <w:color w:val="000000" w:themeColor="text1"/>
          <w:sz w:val="22"/>
          <w:szCs w:val="22"/>
        </w:rPr>
        <w:t xml:space="preserve"> </w:t>
      </w:r>
      <w:r w:rsidR="00DC057F" w:rsidRPr="00DC057F">
        <w:rPr>
          <w:rFonts w:cstheme="minorHAnsi"/>
          <w:color w:val="000000" w:themeColor="text1"/>
          <w:sz w:val="22"/>
          <w:szCs w:val="22"/>
        </w:rPr>
        <w:t>p</w:t>
      </w:r>
      <w:r w:rsidR="00EF5B27" w:rsidRPr="00DC057F">
        <w:rPr>
          <w:rFonts w:cstheme="minorHAnsi"/>
          <w:color w:val="000000" w:themeColor="text1"/>
          <w:sz w:val="22"/>
          <w:szCs w:val="22"/>
        </w:rPr>
        <w:t xml:space="preserve">hysiatrists in a multi-specialty practice who wish to report on a more focused set of measures/activities. </w:t>
      </w:r>
      <w:r w:rsidR="00DC057F" w:rsidRPr="00DC057F">
        <w:rPr>
          <w:rFonts w:cstheme="minorHAnsi"/>
          <w:color w:val="000000" w:themeColor="text1"/>
          <w:sz w:val="22"/>
          <w:szCs w:val="22"/>
        </w:rPr>
        <w:t xml:space="preserve">Alternatively, a subgroup could include </w:t>
      </w:r>
      <w:r w:rsidR="00C46AAD">
        <w:rPr>
          <w:rFonts w:cstheme="minorHAnsi"/>
          <w:color w:val="000000" w:themeColor="text1"/>
          <w:sz w:val="22"/>
          <w:szCs w:val="22"/>
        </w:rPr>
        <w:t xml:space="preserve">only the clinicians who work at a </w:t>
      </w:r>
      <w:r w:rsidR="00DC057F" w:rsidRPr="00DC057F">
        <w:rPr>
          <w:rFonts w:cstheme="minorHAnsi"/>
          <w:color w:val="000000" w:themeColor="text1"/>
          <w:sz w:val="22"/>
          <w:szCs w:val="22"/>
        </w:rPr>
        <w:t>specific clinic within a larger practice</w:t>
      </w:r>
      <w:r w:rsidR="00C46AAD">
        <w:rPr>
          <w:rFonts w:cstheme="minorHAnsi"/>
          <w:color w:val="000000" w:themeColor="text1"/>
          <w:sz w:val="22"/>
          <w:szCs w:val="22"/>
        </w:rPr>
        <w:t xml:space="preserve"> </w:t>
      </w:r>
      <w:r w:rsidR="00C46AAD">
        <w:rPr>
          <w:rFonts w:cstheme="minorHAnsi"/>
          <w:sz w:val="22"/>
          <w:szCs w:val="22"/>
        </w:rPr>
        <w:t>and</w:t>
      </w:r>
      <w:r w:rsidR="00C46AAD" w:rsidRPr="00DC057F">
        <w:rPr>
          <w:rFonts w:cstheme="minorHAnsi"/>
          <w:sz w:val="22"/>
          <w:szCs w:val="22"/>
        </w:rPr>
        <w:t xml:space="preserve"> collaborate on patient care</w:t>
      </w:r>
      <w:r w:rsidR="00C46AAD">
        <w:rPr>
          <w:rFonts w:cstheme="minorHAnsi"/>
          <w:color w:val="000000" w:themeColor="text1"/>
          <w:sz w:val="22"/>
          <w:szCs w:val="22"/>
        </w:rPr>
        <w:t>—</w:t>
      </w:r>
      <w:r w:rsidR="00FC62B3">
        <w:rPr>
          <w:rFonts w:cstheme="minorHAnsi"/>
          <w:color w:val="000000" w:themeColor="text1"/>
          <w:sz w:val="22"/>
          <w:szCs w:val="22"/>
        </w:rPr>
        <w:t>(</w:t>
      </w:r>
      <w:r w:rsidR="00C46AAD">
        <w:rPr>
          <w:rFonts w:cstheme="minorHAnsi"/>
          <w:color w:val="000000" w:themeColor="text1"/>
          <w:sz w:val="22"/>
          <w:szCs w:val="22"/>
        </w:rPr>
        <w:t xml:space="preserve">e.g., </w:t>
      </w:r>
      <w:r w:rsidR="00C46AAD" w:rsidRPr="00DC057F">
        <w:rPr>
          <w:rFonts w:cstheme="minorHAnsi"/>
          <w:sz w:val="22"/>
          <w:szCs w:val="22"/>
        </w:rPr>
        <w:t xml:space="preserve">orthopedic surgeons, physiatrists, physical therapists and </w:t>
      </w:r>
      <w:r w:rsidR="009E20A3">
        <w:rPr>
          <w:rFonts w:cstheme="minorHAnsi"/>
          <w:sz w:val="22"/>
          <w:szCs w:val="22"/>
        </w:rPr>
        <w:t>nurse practitioners</w:t>
      </w:r>
      <w:r w:rsidR="00FC62B3">
        <w:rPr>
          <w:rFonts w:cstheme="minorHAnsi"/>
          <w:sz w:val="22"/>
          <w:szCs w:val="22"/>
        </w:rPr>
        <w:t>)</w:t>
      </w:r>
      <w:r w:rsidR="00C46AAD">
        <w:rPr>
          <w:rFonts w:cstheme="minorHAnsi"/>
          <w:sz w:val="22"/>
          <w:szCs w:val="22"/>
        </w:rPr>
        <w:t xml:space="preserve">.  </w:t>
      </w:r>
    </w:p>
    <w:p w14:paraId="6301CF52" w14:textId="577B76B2" w:rsidR="00DC057F" w:rsidRPr="00DC057F" w:rsidRDefault="00DC057F" w:rsidP="009D2CB2">
      <w:pPr>
        <w:rPr>
          <w:rFonts w:cstheme="minorHAnsi"/>
          <w:sz w:val="22"/>
          <w:szCs w:val="22"/>
        </w:rPr>
      </w:pPr>
    </w:p>
    <w:p w14:paraId="368578CF" w14:textId="02348124" w:rsidR="00DC057F" w:rsidRPr="00DC057F" w:rsidRDefault="00DC057F" w:rsidP="009D2CB2">
      <w:pPr>
        <w:rPr>
          <w:rFonts w:cstheme="minorHAnsi"/>
          <w:color w:val="000000" w:themeColor="text1"/>
          <w:sz w:val="22"/>
          <w:szCs w:val="22"/>
        </w:rPr>
      </w:pPr>
      <w:r w:rsidRPr="00DC057F">
        <w:rPr>
          <w:rFonts w:cstheme="minorHAnsi"/>
          <w:color w:val="000000" w:themeColor="text1"/>
          <w:sz w:val="22"/>
          <w:szCs w:val="22"/>
        </w:rPr>
        <w:t xml:space="preserve">Although subgroup reporting is currently voluntary for MVP participants, beginning in </w:t>
      </w:r>
      <w:r w:rsidR="00200F31">
        <w:rPr>
          <w:rFonts w:cstheme="minorHAnsi"/>
          <w:color w:val="000000" w:themeColor="text1"/>
          <w:sz w:val="22"/>
          <w:szCs w:val="22"/>
        </w:rPr>
        <w:t xml:space="preserve">performance year </w:t>
      </w:r>
      <w:r w:rsidRPr="00DC057F">
        <w:rPr>
          <w:rFonts w:cstheme="minorHAnsi"/>
          <w:color w:val="000000" w:themeColor="text1"/>
          <w:sz w:val="22"/>
          <w:szCs w:val="22"/>
        </w:rPr>
        <w:t>2026, multispecialty groups will be required to form subgroups in order to report MVPs.</w:t>
      </w:r>
      <w:r w:rsidR="00B5689C">
        <w:rPr>
          <w:rFonts w:cstheme="minorHAnsi"/>
          <w:color w:val="000000" w:themeColor="text1"/>
          <w:sz w:val="22"/>
          <w:szCs w:val="22"/>
        </w:rPr>
        <w:t xml:space="preserve"> Those who choose to continue to participate in traditional MIPS are not required to form subgroups.  </w:t>
      </w:r>
      <w:r w:rsidRPr="00DC057F">
        <w:rPr>
          <w:rFonts w:cstheme="minorHAnsi"/>
          <w:color w:val="000000" w:themeColor="text1"/>
          <w:sz w:val="22"/>
          <w:szCs w:val="22"/>
        </w:rPr>
        <w:t xml:space="preserve"> </w:t>
      </w:r>
    </w:p>
    <w:p w14:paraId="635D6A04" w14:textId="77777777" w:rsidR="00DF4237" w:rsidRPr="00DC057F" w:rsidRDefault="00DF4237" w:rsidP="009D2CB2">
      <w:pPr>
        <w:shd w:val="clear" w:color="auto" w:fill="FFFFFF" w:themeFill="background1"/>
        <w:rPr>
          <w:rFonts w:cstheme="minorHAnsi"/>
          <w:color w:val="1B1B1B"/>
          <w:sz w:val="22"/>
          <w:szCs w:val="22"/>
          <w:shd w:val="clear" w:color="auto" w:fill="FFFFFF"/>
        </w:rPr>
      </w:pPr>
    </w:p>
    <w:p w14:paraId="4C0CEAD2" w14:textId="77777777" w:rsidR="00DF4237" w:rsidRPr="00DC057F" w:rsidRDefault="00DF4237" w:rsidP="009D2CB2">
      <w:pPr>
        <w:shd w:val="clear" w:color="auto" w:fill="FFFFFF" w:themeFill="background1"/>
        <w:rPr>
          <w:rFonts w:cstheme="minorHAnsi"/>
          <w:b/>
          <w:bCs/>
          <w:i/>
          <w:iCs/>
          <w:color w:val="1B1B1B"/>
          <w:sz w:val="22"/>
          <w:szCs w:val="22"/>
          <w:shd w:val="clear" w:color="auto" w:fill="FFFFFF"/>
        </w:rPr>
      </w:pPr>
      <w:r w:rsidRPr="00DC057F">
        <w:rPr>
          <w:rFonts w:cstheme="minorHAnsi"/>
          <w:b/>
          <w:bCs/>
          <w:i/>
          <w:iCs/>
          <w:color w:val="1B1B1B"/>
          <w:sz w:val="22"/>
          <w:szCs w:val="22"/>
          <w:shd w:val="clear" w:color="auto" w:fill="FFFFFF"/>
        </w:rPr>
        <w:t>Do I Need to Register for an MVP?</w:t>
      </w:r>
    </w:p>
    <w:p w14:paraId="7A9F8750" w14:textId="7EDC8401" w:rsidR="00C964C7" w:rsidRPr="00DC057F" w:rsidRDefault="00DF4237" w:rsidP="009D2CB2">
      <w:pPr>
        <w:shd w:val="clear" w:color="auto" w:fill="FFFFFF" w:themeFill="background1"/>
        <w:rPr>
          <w:rFonts w:cstheme="minorHAnsi"/>
          <w:sz w:val="22"/>
          <w:szCs w:val="22"/>
        </w:rPr>
      </w:pPr>
      <w:r w:rsidRPr="00DC057F">
        <w:rPr>
          <w:rFonts w:cstheme="minorHAnsi"/>
          <w:color w:val="1B1B1B"/>
          <w:sz w:val="22"/>
          <w:szCs w:val="22"/>
          <w:shd w:val="clear" w:color="auto" w:fill="FFFFFF"/>
        </w:rPr>
        <w:t>Yes. Those who would like</w:t>
      </w:r>
      <w:r w:rsidR="00C964C7" w:rsidRPr="00DC057F">
        <w:rPr>
          <w:rFonts w:cstheme="minorHAnsi"/>
          <w:color w:val="1B1B1B"/>
          <w:sz w:val="22"/>
          <w:szCs w:val="22"/>
          <w:shd w:val="clear" w:color="auto" w:fill="FFFFFF"/>
        </w:rPr>
        <w:t xml:space="preserve"> to </w:t>
      </w:r>
      <w:r w:rsidR="00C964C7" w:rsidRPr="00DC057F">
        <w:rPr>
          <w:rFonts w:cstheme="minorHAnsi"/>
          <w:sz w:val="22"/>
          <w:szCs w:val="22"/>
        </w:rPr>
        <w:t xml:space="preserve">report </w:t>
      </w:r>
      <w:r w:rsidR="005F74CB" w:rsidRPr="00DC057F">
        <w:rPr>
          <w:rFonts w:cstheme="minorHAnsi"/>
          <w:sz w:val="22"/>
          <w:szCs w:val="22"/>
        </w:rPr>
        <w:t>via an</w:t>
      </w:r>
      <w:r w:rsidR="00C964C7" w:rsidRPr="00DC057F">
        <w:rPr>
          <w:rFonts w:cstheme="minorHAnsi"/>
          <w:sz w:val="22"/>
          <w:szCs w:val="22"/>
        </w:rPr>
        <w:t xml:space="preserve"> MVP must register with CMS between </w:t>
      </w:r>
      <w:r w:rsidR="00C964C7" w:rsidRPr="00DC057F">
        <w:rPr>
          <w:rFonts w:cstheme="minorHAnsi"/>
          <w:b/>
          <w:bCs/>
          <w:sz w:val="22"/>
          <w:szCs w:val="22"/>
        </w:rPr>
        <w:t xml:space="preserve">April </w:t>
      </w:r>
      <w:r w:rsidR="00B5689C">
        <w:rPr>
          <w:rFonts w:cstheme="minorHAnsi"/>
          <w:b/>
          <w:bCs/>
          <w:sz w:val="22"/>
          <w:szCs w:val="22"/>
        </w:rPr>
        <w:t>1</w:t>
      </w:r>
      <w:r w:rsidR="00C964C7" w:rsidRPr="00DC057F">
        <w:rPr>
          <w:rFonts w:cstheme="minorHAnsi"/>
          <w:b/>
          <w:bCs/>
          <w:sz w:val="22"/>
          <w:szCs w:val="22"/>
        </w:rPr>
        <w:t xml:space="preserve"> and </w:t>
      </w:r>
      <w:r w:rsidR="00B5689C">
        <w:rPr>
          <w:rFonts w:cstheme="minorHAnsi"/>
          <w:b/>
          <w:bCs/>
          <w:sz w:val="22"/>
          <w:szCs w:val="22"/>
        </w:rPr>
        <w:t>December 2, 2024</w:t>
      </w:r>
      <w:r w:rsidR="00C964C7" w:rsidRPr="00DC057F">
        <w:rPr>
          <w:rFonts w:cstheme="minorHAnsi"/>
          <w:sz w:val="22"/>
          <w:szCs w:val="22"/>
        </w:rPr>
        <w:t xml:space="preserve">. </w:t>
      </w:r>
      <w:r w:rsidR="005F74CB" w:rsidRPr="00DC057F">
        <w:rPr>
          <w:rFonts w:cstheme="minorHAnsi"/>
          <w:sz w:val="22"/>
          <w:szCs w:val="22"/>
        </w:rPr>
        <w:t>Participants will not be able to make changes to their registration after that deadline. CMS will make a registration guide available</w:t>
      </w:r>
      <w:r w:rsidR="008872B6">
        <w:rPr>
          <w:rFonts w:cstheme="minorHAnsi"/>
          <w:sz w:val="22"/>
          <w:szCs w:val="22"/>
        </w:rPr>
        <w:t xml:space="preserve"> through the </w:t>
      </w:r>
      <w:hyperlink r:id="rId7" w:history="1">
        <w:r w:rsidR="008872B6" w:rsidRPr="008872B6">
          <w:rPr>
            <w:rStyle w:val="Hyperlink"/>
            <w:rFonts w:cstheme="minorHAnsi"/>
            <w:sz w:val="22"/>
            <w:szCs w:val="22"/>
          </w:rPr>
          <w:t>QPP Resource Library</w:t>
        </w:r>
      </w:hyperlink>
      <w:r w:rsidR="005F74CB" w:rsidRPr="00DC057F">
        <w:rPr>
          <w:rFonts w:cstheme="minorHAnsi"/>
          <w:sz w:val="22"/>
          <w:szCs w:val="22"/>
        </w:rPr>
        <w:t xml:space="preserve"> in </w:t>
      </w:r>
      <w:r w:rsidR="008872B6">
        <w:rPr>
          <w:rFonts w:cstheme="minorHAnsi"/>
          <w:sz w:val="22"/>
          <w:szCs w:val="22"/>
        </w:rPr>
        <w:t>2024</w:t>
      </w:r>
      <w:r w:rsidR="005F74CB" w:rsidRPr="00DC057F">
        <w:rPr>
          <w:rFonts w:cstheme="minorHAnsi"/>
          <w:sz w:val="22"/>
          <w:szCs w:val="22"/>
        </w:rPr>
        <w:t xml:space="preserve">, outlining the steps needed to complete your registration.  </w:t>
      </w:r>
    </w:p>
    <w:p w14:paraId="79C68DE5" w14:textId="6CC103A3" w:rsidR="005F74CB" w:rsidRPr="00DC057F" w:rsidRDefault="005F74CB" w:rsidP="009D2CB2">
      <w:pPr>
        <w:shd w:val="clear" w:color="auto" w:fill="FFFFFF" w:themeFill="background1"/>
        <w:rPr>
          <w:rFonts w:cstheme="minorHAnsi"/>
          <w:sz w:val="22"/>
          <w:szCs w:val="22"/>
        </w:rPr>
      </w:pPr>
      <w:r w:rsidRPr="00DC057F">
        <w:rPr>
          <w:rFonts w:cstheme="minorHAnsi"/>
          <w:sz w:val="22"/>
          <w:szCs w:val="22"/>
        </w:rPr>
        <w:lastRenderedPageBreak/>
        <w:t xml:space="preserve">At the time of registration, participants will need to select the MVP they would like to report, as well as one population health measure included in the MVP. </w:t>
      </w:r>
      <w:r w:rsidR="0040241A" w:rsidRPr="00DC057F">
        <w:rPr>
          <w:rFonts w:cstheme="minorHAnsi"/>
          <w:sz w:val="22"/>
          <w:szCs w:val="22"/>
        </w:rPr>
        <w:t xml:space="preserve">Note that there are additional registration requirements for subgroups.  </w:t>
      </w:r>
    </w:p>
    <w:p w14:paraId="152558F7" w14:textId="77777777" w:rsidR="009D2CB2" w:rsidRDefault="009D2CB2" w:rsidP="009D2CB2">
      <w:pPr>
        <w:shd w:val="clear" w:color="auto" w:fill="FFFFFF" w:themeFill="background1"/>
        <w:rPr>
          <w:rFonts w:cstheme="minorHAnsi"/>
          <w:sz w:val="22"/>
          <w:szCs w:val="22"/>
        </w:rPr>
      </w:pPr>
    </w:p>
    <w:p w14:paraId="16369119" w14:textId="43B565FF" w:rsidR="00DC057F" w:rsidRPr="00DC057F" w:rsidRDefault="005F74CB" w:rsidP="009D2CB2">
      <w:pPr>
        <w:shd w:val="clear" w:color="auto" w:fill="FFFFFF" w:themeFill="background1"/>
        <w:rPr>
          <w:rFonts w:cstheme="minorHAnsi"/>
          <w:sz w:val="22"/>
          <w:szCs w:val="22"/>
        </w:rPr>
      </w:pPr>
      <w:r w:rsidRPr="00DC057F">
        <w:rPr>
          <w:rFonts w:cstheme="minorHAnsi"/>
          <w:sz w:val="22"/>
          <w:szCs w:val="22"/>
        </w:rPr>
        <w:t xml:space="preserve">MVP participants may still report through traditional MIPS even if they already registered for MVP reporting. </w:t>
      </w:r>
      <w:r w:rsidR="0040241A" w:rsidRPr="00DC057F">
        <w:rPr>
          <w:rFonts w:cstheme="minorHAnsi"/>
          <w:sz w:val="22"/>
          <w:szCs w:val="22"/>
        </w:rPr>
        <w:t xml:space="preserve">However, you may not report </w:t>
      </w:r>
      <w:r w:rsidRPr="00DC057F">
        <w:rPr>
          <w:rFonts w:cstheme="minorHAnsi"/>
          <w:sz w:val="22"/>
          <w:szCs w:val="22"/>
        </w:rPr>
        <w:t xml:space="preserve">on an MVP that you did not register for </w:t>
      </w:r>
      <w:r w:rsidR="00200F31">
        <w:rPr>
          <w:rFonts w:cstheme="minorHAnsi"/>
          <w:sz w:val="22"/>
          <w:szCs w:val="22"/>
        </w:rPr>
        <w:t>during the MVP registration window</w:t>
      </w:r>
      <w:r w:rsidRPr="00DC057F">
        <w:rPr>
          <w:rFonts w:cstheme="minorHAnsi"/>
          <w:sz w:val="22"/>
          <w:szCs w:val="22"/>
        </w:rPr>
        <w:t>.</w:t>
      </w:r>
    </w:p>
    <w:p w14:paraId="33B4BD9D" w14:textId="77777777" w:rsidR="009D2CB2" w:rsidRDefault="009D2CB2" w:rsidP="009D2CB2">
      <w:pPr>
        <w:shd w:val="clear" w:color="auto" w:fill="FFFFFF" w:themeFill="background1"/>
        <w:rPr>
          <w:rFonts w:cstheme="minorHAnsi"/>
          <w:b/>
          <w:bCs/>
          <w:i/>
          <w:iCs/>
          <w:sz w:val="22"/>
          <w:szCs w:val="22"/>
        </w:rPr>
      </w:pPr>
    </w:p>
    <w:p w14:paraId="6D8B639C" w14:textId="54D2BD4B" w:rsidR="00DC057F" w:rsidRPr="00DC057F" w:rsidRDefault="00DC057F" w:rsidP="009D2CB2">
      <w:pPr>
        <w:shd w:val="clear" w:color="auto" w:fill="FFFFFF" w:themeFill="background1"/>
        <w:rPr>
          <w:rFonts w:cstheme="minorHAnsi"/>
          <w:b/>
          <w:bCs/>
          <w:i/>
          <w:iCs/>
          <w:sz w:val="22"/>
          <w:szCs w:val="22"/>
        </w:rPr>
      </w:pPr>
      <w:r w:rsidRPr="00DC057F">
        <w:rPr>
          <w:rFonts w:cstheme="minorHAnsi"/>
          <w:b/>
          <w:bCs/>
          <w:i/>
          <w:iCs/>
          <w:sz w:val="22"/>
          <w:szCs w:val="22"/>
        </w:rPr>
        <w:t xml:space="preserve">Can I Participate </w:t>
      </w:r>
      <w:r w:rsidR="00C46AAD">
        <w:rPr>
          <w:rFonts w:cstheme="minorHAnsi"/>
          <w:b/>
          <w:bCs/>
          <w:i/>
          <w:iCs/>
          <w:sz w:val="22"/>
          <w:szCs w:val="22"/>
        </w:rPr>
        <w:t>T</w:t>
      </w:r>
      <w:r w:rsidRPr="00DC057F">
        <w:rPr>
          <w:rFonts w:cstheme="minorHAnsi"/>
          <w:b/>
          <w:bCs/>
          <w:i/>
          <w:iCs/>
          <w:sz w:val="22"/>
          <w:szCs w:val="22"/>
        </w:rPr>
        <w:t xml:space="preserve">hrough </w:t>
      </w:r>
      <w:r w:rsidR="00C46AAD">
        <w:rPr>
          <w:rFonts w:cstheme="minorHAnsi"/>
          <w:b/>
          <w:bCs/>
          <w:i/>
          <w:iCs/>
          <w:sz w:val="22"/>
          <w:szCs w:val="22"/>
        </w:rPr>
        <w:t xml:space="preserve">Both </w:t>
      </w:r>
      <w:r w:rsidRPr="00DC057F">
        <w:rPr>
          <w:rFonts w:cstheme="minorHAnsi"/>
          <w:b/>
          <w:bCs/>
          <w:i/>
          <w:iCs/>
          <w:sz w:val="22"/>
          <w:szCs w:val="22"/>
        </w:rPr>
        <w:t xml:space="preserve">an MVP and Traditional MIPS? </w:t>
      </w:r>
    </w:p>
    <w:p w14:paraId="17794957" w14:textId="01487427" w:rsidR="00DC057F" w:rsidRPr="00DC057F" w:rsidRDefault="00DC057F" w:rsidP="009D2CB2">
      <w:pPr>
        <w:shd w:val="clear" w:color="auto" w:fill="FFFFFF" w:themeFill="background1"/>
        <w:rPr>
          <w:rFonts w:cstheme="minorHAnsi"/>
          <w:sz w:val="22"/>
          <w:szCs w:val="22"/>
        </w:rPr>
      </w:pPr>
      <w:r w:rsidRPr="00DC057F">
        <w:rPr>
          <w:rFonts w:cstheme="minorHAnsi"/>
          <w:sz w:val="22"/>
          <w:szCs w:val="22"/>
        </w:rPr>
        <w:t xml:space="preserve">Yes. If a MIPS eligible clinician participates via multiple pathways, they will receive the highest final score that can be attributed to their TIN/NPI combination from any reporting option (traditional MIPS, MVPs or the </w:t>
      </w:r>
      <w:hyperlink r:id="rId8" w:history="1">
        <w:r w:rsidRPr="00DC057F">
          <w:rPr>
            <w:rStyle w:val="Hyperlink"/>
            <w:rFonts w:cstheme="minorHAnsi"/>
            <w:sz w:val="22"/>
            <w:szCs w:val="22"/>
          </w:rPr>
          <w:t>APM Performance Pathway</w:t>
        </w:r>
      </w:hyperlink>
      <w:r w:rsidRPr="00DC057F">
        <w:rPr>
          <w:rFonts w:cstheme="minorHAnsi"/>
          <w:sz w:val="22"/>
          <w:szCs w:val="22"/>
        </w:rPr>
        <w:t xml:space="preserve">) and participation option (as an individual, group, subgroup or APM Entity).  </w:t>
      </w:r>
    </w:p>
    <w:p w14:paraId="67E5F5C1" w14:textId="77777777" w:rsidR="009D2CB2" w:rsidRDefault="009D2CB2" w:rsidP="009D2CB2">
      <w:pPr>
        <w:rPr>
          <w:rFonts w:cstheme="minorHAnsi"/>
          <w:b/>
          <w:bCs/>
          <w:i/>
          <w:iCs/>
          <w:sz w:val="22"/>
          <w:szCs w:val="22"/>
        </w:rPr>
      </w:pPr>
    </w:p>
    <w:p w14:paraId="3CD5DBA5" w14:textId="37DB01EF" w:rsidR="00C964C7" w:rsidRPr="00DC057F" w:rsidRDefault="00DC057F" w:rsidP="009D2CB2">
      <w:pPr>
        <w:rPr>
          <w:rFonts w:cstheme="minorHAnsi"/>
          <w:b/>
          <w:bCs/>
          <w:i/>
          <w:iCs/>
          <w:sz w:val="22"/>
          <w:szCs w:val="22"/>
        </w:rPr>
      </w:pPr>
      <w:r w:rsidRPr="00DC057F">
        <w:rPr>
          <w:rFonts w:cstheme="minorHAnsi"/>
          <w:b/>
          <w:bCs/>
          <w:i/>
          <w:iCs/>
          <w:sz w:val="22"/>
          <w:szCs w:val="22"/>
        </w:rPr>
        <w:t>Where Can I Find Additional Information?</w:t>
      </w:r>
    </w:p>
    <w:p w14:paraId="1E4AF388" w14:textId="081FD92A" w:rsidR="00C964C7" w:rsidRDefault="00C964C7" w:rsidP="008872B6">
      <w:r w:rsidRPr="00DC057F">
        <w:rPr>
          <w:rFonts w:cstheme="minorHAnsi"/>
          <w:sz w:val="22"/>
          <w:szCs w:val="22"/>
        </w:rPr>
        <w:t>Additional information about MVPs</w:t>
      </w:r>
      <w:r w:rsidR="00DC057F" w:rsidRPr="00DC057F">
        <w:rPr>
          <w:rFonts w:cstheme="minorHAnsi"/>
          <w:sz w:val="22"/>
          <w:szCs w:val="22"/>
        </w:rPr>
        <w:t xml:space="preserve"> </w:t>
      </w:r>
      <w:r w:rsidR="00FC62B3">
        <w:rPr>
          <w:rFonts w:cstheme="minorHAnsi"/>
          <w:sz w:val="22"/>
          <w:szCs w:val="22"/>
        </w:rPr>
        <w:t xml:space="preserve">can be </w:t>
      </w:r>
      <w:r w:rsidRPr="00DC057F">
        <w:rPr>
          <w:rFonts w:cstheme="minorHAnsi"/>
          <w:sz w:val="22"/>
          <w:szCs w:val="22"/>
        </w:rPr>
        <w:t>found</w:t>
      </w:r>
      <w:r w:rsidR="00E120F1">
        <w:rPr>
          <w:rFonts w:cstheme="minorHAnsi"/>
          <w:sz w:val="22"/>
          <w:szCs w:val="22"/>
        </w:rPr>
        <w:t xml:space="preserve"> </w:t>
      </w:r>
      <w:hyperlink r:id="rId9" w:history="1">
        <w:r w:rsidR="00E120F1" w:rsidRPr="00E120F1">
          <w:rPr>
            <w:rStyle w:val="Hyperlink"/>
            <w:rFonts w:cstheme="minorHAnsi"/>
            <w:sz w:val="22"/>
            <w:szCs w:val="22"/>
          </w:rPr>
          <w:t>here</w:t>
        </w:r>
      </w:hyperlink>
      <w:r w:rsidR="00E120F1">
        <w:rPr>
          <w:rFonts w:cstheme="minorHAnsi"/>
          <w:sz w:val="22"/>
          <w:szCs w:val="22"/>
        </w:rPr>
        <w:t>,</w:t>
      </w:r>
      <w:r w:rsidRPr="00DC057F">
        <w:rPr>
          <w:rFonts w:cstheme="minorHAnsi"/>
          <w:sz w:val="22"/>
          <w:szCs w:val="22"/>
        </w:rPr>
        <w:t xml:space="preserve"> as well </w:t>
      </w:r>
      <w:r w:rsidR="008872B6">
        <w:rPr>
          <w:rFonts w:cstheme="minorHAnsi"/>
          <w:sz w:val="22"/>
          <w:szCs w:val="22"/>
        </w:rPr>
        <w:t xml:space="preserve">as through the </w:t>
      </w:r>
      <w:hyperlink r:id="rId10" w:history="1">
        <w:r w:rsidR="008872B6" w:rsidRPr="008872B6">
          <w:rPr>
            <w:rStyle w:val="Hyperlink"/>
            <w:rFonts w:cstheme="minorHAnsi"/>
            <w:sz w:val="22"/>
            <w:szCs w:val="22"/>
          </w:rPr>
          <w:t>QPP Resource Library</w:t>
        </w:r>
      </w:hyperlink>
      <w:r w:rsidR="008872B6">
        <w:rPr>
          <w:rFonts w:cstheme="minorHAnsi"/>
          <w:sz w:val="22"/>
          <w:szCs w:val="22"/>
        </w:rPr>
        <w:t xml:space="preserve">. </w:t>
      </w:r>
    </w:p>
    <w:sectPr w:rsidR="00C964C7" w:rsidSect="00AC2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60DFB"/>
    <w:multiLevelType w:val="hybridMultilevel"/>
    <w:tmpl w:val="F72E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6C161F"/>
    <w:multiLevelType w:val="hybridMultilevel"/>
    <w:tmpl w:val="A0A0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533829">
    <w:abstractNumId w:val="1"/>
  </w:num>
  <w:num w:numId="2" w16cid:durableId="139415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C7"/>
    <w:rsid w:val="000128EE"/>
    <w:rsid w:val="00034571"/>
    <w:rsid w:val="00043D83"/>
    <w:rsid w:val="000F375F"/>
    <w:rsid w:val="00156C5B"/>
    <w:rsid w:val="00196ABB"/>
    <w:rsid w:val="001C58AC"/>
    <w:rsid w:val="00200F31"/>
    <w:rsid w:val="002839D4"/>
    <w:rsid w:val="0036117F"/>
    <w:rsid w:val="0040241A"/>
    <w:rsid w:val="00436147"/>
    <w:rsid w:val="004A554E"/>
    <w:rsid w:val="00510EA7"/>
    <w:rsid w:val="005822DC"/>
    <w:rsid w:val="005F74CB"/>
    <w:rsid w:val="00881595"/>
    <w:rsid w:val="008872B6"/>
    <w:rsid w:val="008F421A"/>
    <w:rsid w:val="009241EA"/>
    <w:rsid w:val="009D2CB2"/>
    <w:rsid w:val="009E20A3"/>
    <w:rsid w:val="00A24A08"/>
    <w:rsid w:val="00A401F7"/>
    <w:rsid w:val="00A55429"/>
    <w:rsid w:val="00AC2DDC"/>
    <w:rsid w:val="00B5689C"/>
    <w:rsid w:val="00B6614E"/>
    <w:rsid w:val="00C01895"/>
    <w:rsid w:val="00C263B2"/>
    <w:rsid w:val="00C46AAD"/>
    <w:rsid w:val="00C964C7"/>
    <w:rsid w:val="00CD1C66"/>
    <w:rsid w:val="00D521F3"/>
    <w:rsid w:val="00D844A1"/>
    <w:rsid w:val="00DC057F"/>
    <w:rsid w:val="00DF4237"/>
    <w:rsid w:val="00E120F1"/>
    <w:rsid w:val="00E336AA"/>
    <w:rsid w:val="00EF5B27"/>
    <w:rsid w:val="00FC314F"/>
    <w:rsid w:val="00FC62B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0EF5"/>
  <w15:chartTrackingRefBased/>
  <w15:docId w15:val="{E3DFF93C-6668-E944-BC4E-4C40E265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F375F"/>
    <w:pPr>
      <w:keepNext/>
      <w:keepLines/>
      <w:spacing w:before="24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CD1C66"/>
    <w:pPr>
      <w:outlineLvl w:val="1"/>
    </w:pPr>
    <w:rPr>
      <w:rFonts w:eastAsiaTheme="majorEastAsia" w:cstheme="majorBidi"/>
      <w:b/>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75F"/>
    <w:rPr>
      <w:rFonts w:eastAsiaTheme="majorEastAsia" w:cstheme="majorBidi"/>
      <w:b/>
      <w:color w:val="2F5496" w:themeColor="accent1" w:themeShade="BF"/>
      <w:sz w:val="32"/>
      <w:szCs w:val="32"/>
    </w:rPr>
  </w:style>
  <w:style w:type="character" w:customStyle="1" w:styleId="Heading2Char">
    <w:name w:val="Heading 2 Char"/>
    <w:basedOn w:val="DefaultParagraphFont"/>
    <w:link w:val="Heading2"/>
    <w:uiPriority w:val="9"/>
    <w:rsid w:val="00CD1C66"/>
    <w:rPr>
      <w:rFonts w:eastAsiaTheme="majorEastAsia" w:cstheme="majorBidi"/>
      <w:b/>
      <w:color w:val="2F5496" w:themeColor="accent1" w:themeShade="BF"/>
    </w:rPr>
  </w:style>
  <w:style w:type="paragraph" w:customStyle="1" w:styleId="Heading2rg">
    <w:name w:val="Heading 2.rg"/>
    <w:basedOn w:val="Normal"/>
    <w:autoRedefine/>
    <w:qFormat/>
    <w:rsid w:val="00CD1C66"/>
    <w:pPr>
      <w:autoSpaceDE w:val="0"/>
      <w:autoSpaceDN w:val="0"/>
      <w:adjustRightInd w:val="0"/>
    </w:pPr>
    <w:rPr>
      <w:rFonts w:eastAsiaTheme="majorEastAsia" w:cs="Times New Roman"/>
      <w:b/>
      <w:iCs/>
      <w:color w:val="2F5496" w:themeColor="accent1" w:themeShade="BF"/>
    </w:rPr>
  </w:style>
  <w:style w:type="character" w:customStyle="1" w:styleId="Hyperlink0">
    <w:name w:val="Hyperlink.0"/>
    <w:basedOn w:val="Hyperlink"/>
    <w:qFormat/>
    <w:rsid w:val="0036117F"/>
    <w:rPr>
      <w:rFonts w:asciiTheme="minorHAnsi" w:hAnsiTheme="minorHAnsi"/>
      <w:color w:val="0070C0"/>
      <w:sz w:val="20"/>
      <w:u w:val="single"/>
    </w:rPr>
  </w:style>
  <w:style w:type="character" w:styleId="Hyperlink">
    <w:name w:val="Hyperlink"/>
    <w:uiPriority w:val="99"/>
    <w:qFormat/>
    <w:rsid w:val="0036117F"/>
    <w:rPr>
      <w:rFonts w:asciiTheme="minorHAnsi" w:hAnsiTheme="minorHAnsi"/>
      <w:color w:val="0070C0"/>
      <w:sz w:val="20"/>
      <w:u w:val="single"/>
    </w:rPr>
  </w:style>
  <w:style w:type="character" w:styleId="CommentReference">
    <w:name w:val="annotation reference"/>
    <w:basedOn w:val="DefaultParagraphFont"/>
    <w:uiPriority w:val="99"/>
    <w:semiHidden/>
    <w:unhideWhenUsed/>
    <w:rsid w:val="00C964C7"/>
    <w:rPr>
      <w:sz w:val="16"/>
      <w:szCs w:val="16"/>
    </w:rPr>
  </w:style>
  <w:style w:type="paragraph" w:styleId="CommentText">
    <w:name w:val="annotation text"/>
    <w:basedOn w:val="Normal"/>
    <w:link w:val="CommentTextChar"/>
    <w:uiPriority w:val="99"/>
    <w:unhideWhenUsed/>
    <w:rsid w:val="00C964C7"/>
    <w:pPr>
      <w:spacing w:after="200"/>
    </w:pPr>
    <w:rPr>
      <w:sz w:val="20"/>
      <w:szCs w:val="20"/>
    </w:rPr>
  </w:style>
  <w:style w:type="character" w:customStyle="1" w:styleId="CommentTextChar">
    <w:name w:val="Comment Text Char"/>
    <w:basedOn w:val="DefaultParagraphFont"/>
    <w:link w:val="CommentText"/>
    <w:uiPriority w:val="99"/>
    <w:rsid w:val="00C964C7"/>
    <w:rPr>
      <w:sz w:val="20"/>
      <w:szCs w:val="20"/>
    </w:rPr>
  </w:style>
  <w:style w:type="table" w:styleId="TableGrid">
    <w:name w:val="Table Grid"/>
    <w:basedOn w:val="TableNormal"/>
    <w:uiPriority w:val="59"/>
    <w:rsid w:val="00C964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C964C7"/>
    <w:pPr>
      <w:spacing w:after="200" w:line="276" w:lineRule="auto"/>
      <w:ind w:left="720"/>
      <w:contextualSpacing/>
    </w:pPr>
    <w:rPr>
      <w:rFonts w:ascii="Century Gothic" w:eastAsia="Times New Roman" w:hAnsi="Century Gothic" w:cs="Times New Roman"/>
      <w:sz w:val="22"/>
      <w:szCs w:val="22"/>
    </w:rPr>
  </w:style>
  <w:style w:type="character" w:styleId="FollowedHyperlink">
    <w:name w:val="FollowedHyperlink"/>
    <w:basedOn w:val="DefaultParagraphFont"/>
    <w:uiPriority w:val="99"/>
    <w:semiHidden/>
    <w:unhideWhenUsed/>
    <w:rsid w:val="00C964C7"/>
    <w:rPr>
      <w:color w:val="954F72" w:themeColor="followedHyperlink"/>
      <w:u w:val="single"/>
    </w:rPr>
  </w:style>
  <w:style w:type="character" w:styleId="UnresolvedMention">
    <w:name w:val="Unresolved Mention"/>
    <w:basedOn w:val="DefaultParagraphFont"/>
    <w:uiPriority w:val="99"/>
    <w:rsid w:val="005F74C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C057F"/>
    <w:pPr>
      <w:spacing w:after="0"/>
    </w:pPr>
    <w:rPr>
      <w:b/>
      <w:bCs/>
    </w:rPr>
  </w:style>
  <w:style w:type="character" w:customStyle="1" w:styleId="CommentSubjectChar">
    <w:name w:val="Comment Subject Char"/>
    <w:basedOn w:val="CommentTextChar"/>
    <w:link w:val="CommentSubject"/>
    <w:uiPriority w:val="99"/>
    <w:semiHidden/>
    <w:rsid w:val="00DC057F"/>
    <w:rPr>
      <w:b/>
      <w:bCs/>
      <w:sz w:val="20"/>
      <w:szCs w:val="20"/>
    </w:rPr>
  </w:style>
  <w:style w:type="paragraph" w:styleId="Revision">
    <w:name w:val="Revision"/>
    <w:hidden/>
    <w:uiPriority w:val="99"/>
    <w:semiHidden/>
    <w:rsid w:val="00156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pp.cms.gov/mips/apm-performance-pathway" TargetMode="External"/><Relationship Id="rId3" Type="http://schemas.openxmlformats.org/officeDocument/2006/relationships/settings" Target="settings.xml"/><Relationship Id="rId7" Type="http://schemas.openxmlformats.org/officeDocument/2006/relationships/hyperlink" Target="https://qpp.cms.gov/resources/resource-libr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pp.cms.gov/mips/virtual-group-participation?py=2024" TargetMode="External"/><Relationship Id="rId11" Type="http://schemas.openxmlformats.org/officeDocument/2006/relationships/fontTable" Target="fontTable.xml"/><Relationship Id="rId5" Type="http://schemas.openxmlformats.org/officeDocument/2006/relationships/hyperlink" Target="https://qpp.cms.gov/mips/special-statuses?py=2024" TargetMode="External"/><Relationship Id="rId10" Type="http://schemas.openxmlformats.org/officeDocument/2006/relationships/hyperlink" Target="https://qpp.cms.gov/resources/resource-library" TargetMode="External"/><Relationship Id="rId4" Type="http://schemas.openxmlformats.org/officeDocument/2006/relationships/webSettings" Target="webSettings.xml"/><Relationship Id="rId9" Type="http://schemas.openxmlformats.org/officeDocument/2006/relationships/hyperlink" Target="https://qpp.cms.gov/mips/mips-value-pathw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Groman</dc:creator>
  <cp:keywords/>
  <dc:description/>
  <cp:lastModifiedBy>Lisa Borcovan</cp:lastModifiedBy>
  <cp:revision>3</cp:revision>
  <dcterms:created xsi:type="dcterms:W3CDTF">2024-03-21T15:06:00Z</dcterms:created>
  <dcterms:modified xsi:type="dcterms:W3CDTF">2024-03-22T14:28:00Z</dcterms:modified>
</cp:coreProperties>
</file>